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80" w:line="46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违反《中华人民共和国禁毒法》处罚裁量基准</w:t>
      </w:r>
    </w:p>
    <w:tbl>
      <w:tblPr>
        <w:tblStyle w:val="7"/>
        <w:tblW w:w="0" w:type="auto"/>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20"/>
        <w:gridCol w:w="1705"/>
        <w:gridCol w:w="2413"/>
        <w:gridCol w:w="1833"/>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320"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编  码</w:t>
            </w:r>
          </w:p>
        </w:tc>
        <w:tc>
          <w:tcPr>
            <w:tcW w:w="1705"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违法行为</w:t>
            </w:r>
          </w:p>
        </w:tc>
        <w:tc>
          <w:tcPr>
            <w:tcW w:w="2413"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法律依据</w:t>
            </w:r>
          </w:p>
        </w:tc>
        <w:tc>
          <w:tcPr>
            <w:tcW w:w="1833"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违法情节</w:t>
            </w:r>
          </w:p>
        </w:tc>
        <w:tc>
          <w:tcPr>
            <w:tcW w:w="1577"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25" w:hRule="atLeast"/>
        </w:trPr>
        <w:tc>
          <w:tcPr>
            <w:tcW w:w="1320" w:type="dxa"/>
            <w:tcBorders>
              <w:tl2br w:val="nil"/>
              <w:tr2bl w:val="nil"/>
            </w:tcBorders>
            <w:noWrap w:val="0"/>
            <w:vAlign w:val="top"/>
          </w:tcPr>
          <w:p>
            <w:pPr>
              <w:widowControl/>
              <w:spacing w:line="320" w:lineRule="exact"/>
              <w:jc w:val="center"/>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C05690A010-</w:t>
            </w:r>
          </w:p>
          <w:p>
            <w:pPr>
              <w:widowControl/>
              <w:spacing w:line="320" w:lineRule="exact"/>
              <w:jc w:val="center"/>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C05691A010</w:t>
            </w:r>
          </w:p>
        </w:tc>
        <w:tc>
          <w:tcPr>
            <w:tcW w:w="1705" w:type="dxa"/>
            <w:vMerge w:val="restart"/>
            <w:tcBorders>
              <w:tl2br w:val="nil"/>
              <w:tr2bl w:val="nil"/>
            </w:tcBorders>
            <w:noWrap w:val="0"/>
            <w:vAlign w:val="top"/>
          </w:tcPr>
          <w:p>
            <w:pPr>
              <w:widowControl/>
              <w:spacing w:line="320" w:lineRule="exact"/>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1、容留他人吸食、注射毒品尚不构成犯罪</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2、介绍买卖毒品尚不构成犯罪</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w:t>
            </w:r>
          </w:p>
        </w:tc>
        <w:tc>
          <w:tcPr>
            <w:tcW w:w="2413" w:type="dxa"/>
            <w:vMerge w:val="restart"/>
            <w:tcBorders>
              <w:tl2br w:val="nil"/>
              <w:tr2bl w:val="nil"/>
            </w:tcBorders>
            <w:noWrap w:val="0"/>
            <w:vAlign w:val="top"/>
          </w:tcPr>
          <w:p>
            <w:pPr>
              <w:widowControl/>
              <w:spacing w:line="320" w:lineRule="exact"/>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第六十一条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容留他人吸食、注射毒品或者介绍买卖毒品，尚不构成犯罪的，由公安机关处10日以上15日以下拘留，可以并处3000元以下罚款；情节较轻的，处5日以下拘留或者500以下罚款。</w:t>
            </w:r>
          </w:p>
        </w:tc>
        <w:tc>
          <w:tcPr>
            <w:tcW w:w="1833" w:type="dxa"/>
            <w:tcBorders>
              <w:tl2br w:val="nil"/>
              <w:tr2bl w:val="nil"/>
            </w:tcBorders>
            <w:noWrap w:val="0"/>
            <w:vAlign w:val="top"/>
          </w:tcPr>
          <w:p>
            <w:pPr>
              <w:widowControl/>
              <w:numPr>
                <w:ilvl w:val="0"/>
                <w:numId w:val="1"/>
              </w:numPr>
              <w:spacing w:line="320" w:lineRule="exact"/>
              <w:jc w:val="left"/>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容留1人吸食、注射毒品；                  2、介绍1人次购买少量仅用于吸食、注射的毒品。</w:t>
            </w:r>
          </w:p>
          <w:p>
            <w:pPr>
              <w:widowControl/>
              <w:numPr>
                <w:ilvl w:val="0"/>
                <w:numId w:val="0"/>
              </w:numPr>
              <w:spacing w:line="320" w:lineRule="exact"/>
              <w:jc w:val="left"/>
              <w:textAlignment w:val="top"/>
              <w:rPr>
                <w:rFonts w:hint="eastAsia" w:ascii="宋体" w:hAnsi="宋体" w:eastAsia="宋体" w:cs="宋体"/>
                <w:color w:val="auto"/>
                <w:kern w:val="0"/>
                <w:sz w:val="21"/>
                <w:szCs w:val="21"/>
                <w:highlight w:val="none"/>
              </w:rPr>
            </w:pPr>
          </w:p>
          <w:p>
            <w:pPr>
              <w:widowControl/>
              <w:numPr>
                <w:ilvl w:val="0"/>
                <w:numId w:val="0"/>
              </w:numPr>
              <w:spacing w:line="320" w:lineRule="exact"/>
              <w:jc w:val="left"/>
              <w:textAlignment w:val="top"/>
              <w:rPr>
                <w:rFonts w:hint="eastAsia" w:ascii="宋体" w:hAnsi="宋体" w:eastAsia="宋体" w:cs="宋体"/>
                <w:color w:val="auto"/>
                <w:kern w:val="0"/>
                <w:sz w:val="21"/>
                <w:szCs w:val="21"/>
                <w:highlight w:val="none"/>
              </w:rPr>
            </w:pPr>
          </w:p>
          <w:p>
            <w:pPr>
              <w:widowControl/>
              <w:numPr>
                <w:ilvl w:val="0"/>
                <w:numId w:val="0"/>
              </w:numPr>
              <w:spacing w:line="320" w:lineRule="exact"/>
              <w:jc w:val="left"/>
              <w:textAlignment w:val="top"/>
              <w:rPr>
                <w:rFonts w:hint="eastAsia" w:ascii="宋体" w:hAnsi="宋体" w:eastAsia="宋体" w:cs="宋体"/>
                <w:color w:val="auto"/>
                <w:kern w:val="0"/>
                <w:sz w:val="21"/>
                <w:szCs w:val="21"/>
                <w:highlight w:val="none"/>
              </w:rPr>
            </w:pPr>
          </w:p>
          <w:p>
            <w:pPr>
              <w:widowControl/>
              <w:numPr>
                <w:ilvl w:val="0"/>
                <w:numId w:val="0"/>
              </w:numPr>
              <w:spacing w:line="320" w:lineRule="exact"/>
              <w:jc w:val="left"/>
              <w:textAlignment w:val="top"/>
              <w:rPr>
                <w:rFonts w:hint="eastAsia" w:ascii="宋体" w:hAnsi="宋体" w:eastAsia="宋体" w:cs="宋体"/>
                <w:color w:val="auto"/>
                <w:kern w:val="0"/>
                <w:sz w:val="21"/>
                <w:szCs w:val="21"/>
                <w:highlight w:val="none"/>
              </w:rPr>
            </w:pPr>
          </w:p>
          <w:p>
            <w:pPr>
              <w:pStyle w:val="2"/>
              <w:rPr>
                <w:rFonts w:hint="eastAsia"/>
              </w:rPr>
            </w:pPr>
          </w:p>
          <w:p>
            <w:pPr>
              <w:widowControl/>
              <w:numPr>
                <w:ilvl w:val="0"/>
                <w:numId w:val="0"/>
              </w:numPr>
              <w:spacing w:line="320" w:lineRule="exact"/>
              <w:jc w:val="left"/>
              <w:textAlignment w:val="top"/>
              <w:rPr>
                <w:rFonts w:hint="eastAsia" w:ascii="宋体" w:hAnsi="宋体" w:eastAsia="宋体" w:cs="宋体"/>
                <w:color w:val="auto"/>
                <w:kern w:val="0"/>
                <w:sz w:val="21"/>
                <w:szCs w:val="21"/>
                <w:highlight w:val="none"/>
              </w:rPr>
            </w:pPr>
          </w:p>
        </w:tc>
        <w:tc>
          <w:tcPr>
            <w:tcW w:w="1577" w:type="dxa"/>
            <w:tcBorders>
              <w:tl2br w:val="nil"/>
              <w:tr2bl w:val="nil"/>
            </w:tcBorders>
            <w:noWrap w:val="0"/>
            <w:vAlign w:val="top"/>
          </w:tcPr>
          <w:p>
            <w:pPr>
              <w:widowControl/>
              <w:spacing w:line="320" w:lineRule="exact"/>
              <w:textAlignment w:val="top"/>
              <w:rPr>
                <w:rFonts w:hint="eastAsia"/>
              </w:rPr>
            </w:pPr>
            <w:r>
              <w:rPr>
                <w:rFonts w:hint="eastAsia"/>
              </w:rPr>
              <w:t>处5日以下拘留或者500元以下罚款</w:t>
            </w:r>
          </w:p>
          <w:p>
            <w:pPr>
              <w:pStyle w:val="2"/>
              <w:rPr>
                <w:rFonts w:hint="eastAsia"/>
              </w:rPr>
            </w:pPr>
          </w:p>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57" w:hRule="atLeast"/>
        </w:trPr>
        <w:tc>
          <w:tcPr>
            <w:tcW w:w="1320" w:type="dxa"/>
            <w:tcBorders>
              <w:tl2br w:val="nil"/>
              <w:tr2bl w:val="nil"/>
            </w:tcBorders>
            <w:noWrap w:val="0"/>
            <w:vAlign w:val="top"/>
          </w:tcPr>
          <w:p>
            <w:pPr>
              <w:widowControl/>
              <w:spacing w:line="320" w:lineRule="exact"/>
              <w:jc w:val="center"/>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C05690A020-</w:t>
            </w:r>
          </w:p>
          <w:p>
            <w:pPr>
              <w:widowControl/>
              <w:spacing w:line="320" w:lineRule="exact"/>
              <w:jc w:val="center"/>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C05691A020</w:t>
            </w:r>
          </w:p>
        </w:tc>
        <w:tc>
          <w:tcPr>
            <w:tcW w:w="1705" w:type="dxa"/>
            <w:vMerge w:val="continue"/>
            <w:tcBorders>
              <w:tl2br w:val="nil"/>
              <w:tr2bl w:val="nil"/>
            </w:tcBorders>
            <w:noWrap w:val="0"/>
            <w:vAlign w:val="top"/>
          </w:tcPr>
          <w:p>
            <w:pPr>
              <w:widowControl/>
              <w:spacing w:line="320" w:lineRule="exact"/>
              <w:textAlignment w:val="top"/>
              <w:rPr>
                <w:rFonts w:hint="eastAsia" w:ascii="宋体" w:hAnsi="宋体" w:eastAsia="宋体" w:cs="宋体"/>
                <w:color w:val="auto"/>
                <w:kern w:val="0"/>
                <w:sz w:val="21"/>
                <w:szCs w:val="21"/>
                <w:highlight w:val="none"/>
              </w:rPr>
            </w:pPr>
          </w:p>
        </w:tc>
        <w:tc>
          <w:tcPr>
            <w:tcW w:w="2413" w:type="dxa"/>
            <w:vMerge w:val="continue"/>
            <w:tcBorders>
              <w:tl2br w:val="nil"/>
              <w:tr2bl w:val="nil"/>
            </w:tcBorders>
            <w:noWrap w:val="0"/>
            <w:vAlign w:val="top"/>
          </w:tcPr>
          <w:p>
            <w:pPr>
              <w:widowControl/>
              <w:spacing w:line="320" w:lineRule="exact"/>
              <w:textAlignment w:val="top"/>
              <w:rPr>
                <w:rFonts w:hint="eastAsia" w:ascii="宋体" w:hAnsi="宋体" w:eastAsia="宋体" w:cs="宋体"/>
                <w:color w:val="auto"/>
                <w:kern w:val="0"/>
                <w:sz w:val="21"/>
                <w:szCs w:val="21"/>
                <w:highlight w:val="none"/>
              </w:rPr>
            </w:pPr>
          </w:p>
        </w:tc>
        <w:tc>
          <w:tcPr>
            <w:tcW w:w="1833" w:type="dxa"/>
            <w:tcBorders>
              <w:tl2br w:val="nil"/>
              <w:tr2bl w:val="nil"/>
            </w:tcBorders>
            <w:noWrap w:val="0"/>
            <w:vAlign w:val="top"/>
          </w:tcPr>
          <w:p>
            <w:pPr>
              <w:widowControl/>
              <w:numPr>
                <w:ilvl w:val="0"/>
                <w:numId w:val="2"/>
              </w:numPr>
              <w:spacing w:line="320" w:lineRule="exact"/>
              <w:jc w:val="left"/>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容留1人吸食、注射毒品，并提供吸毒工具；</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2、介绍2人以上或1人</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次以上购买毒品。</w:t>
            </w:r>
          </w:p>
          <w:p>
            <w:pPr>
              <w:widowControl/>
              <w:numPr>
                <w:ilvl w:val="0"/>
                <w:numId w:val="0"/>
              </w:numPr>
              <w:spacing w:line="320" w:lineRule="exact"/>
              <w:jc w:val="left"/>
              <w:textAlignment w:val="top"/>
              <w:rPr>
                <w:rFonts w:hint="eastAsia" w:ascii="宋体" w:hAnsi="宋体" w:eastAsia="宋体" w:cs="宋体"/>
                <w:color w:val="auto"/>
                <w:kern w:val="0"/>
                <w:sz w:val="21"/>
                <w:szCs w:val="21"/>
                <w:highlight w:val="none"/>
              </w:rPr>
            </w:pPr>
          </w:p>
          <w:p>
            <w:pPr>
              <w:widowControl/>
              <w:numPr>
                <w:ilvl w:val="0"/>
                <w:numId w:val="0"/>
              </w:numPr>
              <w:spacing w:line="320" w:lineRule="exact"/>
              <w:jc w:val="left"/>
              <w:textAlignment w:val="top"/>
              <w:rPr>
                <w:rFonts w:hint="eastAsia" w:ascii="宋体" w:hAnsi="宋体" w:eastAsia="宋体" w:cs="宋体"/>
                <w:color w:val="auto"/>
                <w:kern w:val="0"/>
                <w:sz w:val="21"/>
                <w:szCs w:val="21"/>
                <w:highlight w:val="none"/>
              </w:rPr>
            </w:pPr>
          </w:p>
          <w:p>
            <w:pPr>
              <w:widowControl/>
              <w:numPr>
                <w:ilvl w:val="0"/>
                <w:numId w:val="0"/>
              </w:numPr>
              <w:spacing w:line="320" w:lineRule="exact"/>
              <w:jc w:val="left"/>
              <w:textAlignment w:val="top"/>
              <w:rPr>
                <w:rFonts w:hint="eastAsia" w:ascii="宋体" w:hAnsi="宋体" w:eastAsia="宋体" w:cs="宋体"/>
                <w:color w:val="auto"/>
                <w:kern w:val="0"/>
                <w:sz w:val="21"/>
                <w:szCs w:val="21"/>
                <w:highlight w:val="none"/>
              </w:rPr>
            </w:pPr>
          </w:p>
          <w:p>
            <w:pPr>
              <w:widowControl/>
              <w:numPr>
                <w:ilvl w:val="0"/>
                <w:numId w:val="0"/>
              </w:numPr>
              <w:spacing w:line="320" w:lineRule="exact"/>
              <w:jc w:val="left"/>
              <w:textAlignment w:val="top"/>
              <w:rPr>
                <w:rFonts w:hint="eastAsia" w:ascii="宋体" w:hAnsi="宋体" w:eastAsia="宋体" w:cs="宋体"/>
                <w:color w:val="auto"/>
                <w:kern w:val="0"/>
                <w:sz w:val="21"/>
                <w:szCs w:val="21"/>
                <w:highlight w:val="none"/>
              </w:rPr>
            </w:pPr>
          </w:p>
          <w:p>
            <w:pPr>
              <w:widowControl/>
              <w:numPr>
                <w:ilvl w:val="0"/>
                <w:numId w:val="0"/>
              </w:numPr>
              <w:spacing w:line="320" w:lineRule="exact"/>
              <w:jc w:val="left"/>
              <w:textAlignment w:val="top"/>
              <w:rPr>
                <w:rFonts w:hint="eastAsia" w:ascii="宋体" w:hAnsi="宋体" w:eastAsia="宋体" w:cs="宋体"/>
                <w:color w:val="auto"/>
                <w:kern w:val="0"/>
                <w:sz w:val="21"/>
                <w:szCs w:val="21"/>
                <w:highlight w:val="none"/>
              </w:rPr>
            </w:pPr>
          </w:p>
          <w:p>
            <w:pPr>
              <w:widowControl/>
              <w:numPr>
                <w:ilvl w:val="0"/>
                <w:numId w:val="0"/>
              </w:numPr>
              <w:spacing w:line="320" w:lineRule="exact"/>
              <w:jc w:val="left"/>
              <w:textAlignment w:val="top"/>
              <w:rPr>
                <w:rFonts w:hint="eastAsia" w:ascii="宋体" w:hAnsi="宋体" w:eastAsia="宋体" w:cs="宋体"/>
                <w:color w:val="auto"/>
                <w:kern w:val="0"/>
                <w:sz w:val="21"/>
                <w:szCs w:val="21"/>
                <w:highlight w:val="none"/>
              </w:rPr>
            </w:pPr>
          </w:p>
        </w:tc>
        <w:tc>
          <w:tcPr>
            <w:tcW w:w="1577" w:type="dxa"/>
            <w:tcBorders>
              <w:tl2br w:val="nil"/>
              <w:tr2bl w:val="nil"/>
            </w:tcBorders>
            <w:noWrap w:val="0"/>
            <w:vAlign w:val="top"/>
          </w:tcPr>
          <w:p>
            <w:pPr>
              <w:widowControl/>
              <w:spacing w:line="320" w:lineRule="exact"/>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处10日以上15日以下拘留，可以并处1000元</w:t>
            </w:r>
            <w:r>
              <w:rPr>
                <w:rFonts w:hint="eastAsia" w:ascii="宋体" w:hAnsi="宋体" w:cs="宋体"/>
                <w:color w:val="auto"/>
                <w:kern w:val="0"/>
                <w:sz w:val="21"/>
                <w:szCs w:val="21"/>
                <w:highlight w:val="none"/>
                <w:lang w:val="en-US" w:eastAsia="zh-CN"/>
              </w:rPr>
              <w:t>以上</w:t>
            </w:r>
            <w:r>
              <w:rPr>
                <w:rFonts w:hint="eastAsia" w:ascii="宋体" w:hAnsi="宋体" w:eastAsia="宋体" w:cs="宋体"/>
                <w:color w:val="auto"/>
                <w:kern w:val="0"/>
                <w:sz w:val="21"/>
                <w:szCs w:val="21"/>
                <w:highlight w:val="none"/>
              </w:rPr>
              <w:t>2000元</w:t>
            </w:r>
            <w:r>
              <w:rPr>
                <w:rFonts w:hint="eastAsia" w:ascii="宋体" w:hAnsi="宋体" w:cs="宋体"/>
                <w:color w:val="auto"/>
                <w:kern w:val="0"/>
                <w:sz w:val="21"/>
                <w:szCs w:val="21"/>
                <w:highlight w:val="none"/>
                <w:lang w:val="en-US" w:eastAsia="zh-CN"/>
              </w:rPr>
              <w:t>以下</w:t>
            </w:r>
            <w:r>
              <w:rPr>
                <w:rFonts w:hint="eastAsia" w:ascii="宋体" w:hAnsi="宋体" w:eastAsia="宋体" w:cs="宋体"/>
                <w:color w:val="auto"/>
                <w:kern w:val="0"/>
                <w:sz w:val="21"/>
                <w:szCs w:val="21"/>
                <w:highlight w:val="none"/>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39" w:hRule="atLeast"/>
        </w:trPr>
        <w:tc>
          <w:tcPr>
            <w:tcW w:w="1320" w:type="dxa"/>
            <w:tcBorders>
              <w:tl2br w:val="nil"/>
              <w:tr2bl w:val="nil"/>
            </w:tcBorders>
            <w:noWrap w:val="0"/>
            <w:vAlign w:val="top"/>
          </w:tcPr>
          <w:p>
            <w:pPr>
              <w:widowControl/>
              <w:spacing w:line="320" w:lineRule="exact"/>
              <w:jc w:val="center"/>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C05690A030-</w:t>
            </w:r>
          </w:p>
          <w:p>
            <w:pPr>
              <w:widowControl/>
              <w:spacing w:line="320" w:lineRule="exact"/>
              <w:jc w:val="center"/>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C05691A030</w:t>
            </w:r>
          </w:p>
        </w:tc>
        <w:tc>
          <w:tcPr>
            <w:tcW w:w="1705" w:type="dxa"/>
            <w:vMerge w:val="continue"/>
            <w:tcBorders>
              <w:tl2br w:val="nil"/>
              <w:tr2bl w:val="nil"/>
            </w:tcBorders>
            <w:noWrap w:val="0"/>
            <w:vAlign w:val="top"/>
          </w:tcPr>
          <w:p>
            <w:pPr>
              <w:widowControl/>
              <w:spacing w:line="320" w:lineRule="exact"/>
              <w:textAlignment w:val="top"/>
              <w:rPr>
                <w:rFonts w:hint="eastAsia" w:ascii="宋体" w:hAnsi="宋体" w:eastAsia="宋体" w:cs="宋体"/>
                <w:color w:val="auto"/>
                <w:kern w:val="0"/>
                <w:sz w:val="21"/>
                <w:szCs w:val="21"/>
                <w:highlight w:val="none"/>
              </w:rPr>
            </w:pPr>
          </w:p>
        </w:tc>
        <w:tc>
          <w:tcPr>
            <w:tcW w:w="2413" w:type="dxa"/>
            <w:vMerge w:val="continue"/>
            <w:tcBorders>
              <w:tl2br w:val="nil"/>
              <w:tr2bl w:val="nil"/>
            </w:tcBorders>
            <w:noWrap w:val="0"/>
            <w:vAlign w:val="top"/>
          </w:tcPr>
          <w:p>
            <w:pPr>
              <w:widowControl/>
              <w:spacing w:line="320" w:lineRule="exact"/>
              <w:textAlignment w:val="top"/>
              <w:rPr>
                <w:rFonts w:hint="eastAsia" w:ascii="宋体" w:hAnsi="宋体" w:eastAsia="宋体" w:cs="宋体"/>
                <w:color w:val="auto"/>
                <w:kern w:val="0"/>
                <w:sz w:val="21"/>
                <w:szCs w:val="21"/>
                <w:highlight w:val="none"/>
              </w:rPr>
            </w:pPr>
          </w:p>
        </w:tc>
        <w:tc>
          <w:tcPr>
            <w:tcW w:w="1833" w:type="dxa"/>
            <w:tcBorders>
              <w:tl2br w:val="nil"/>
              <w:tr2bl w:val="nil"/>
            </w:tcBorders>
            <w:noWrap w:val="0"/>
            <w:vAlign w:val="top"/>
          </w:tcPr>
          <w:p>
            <w:pPr>
              <w:widowControl/>
              <w:numPr>
                <w:ilvl w:val="0"/>
                <w:numId w:val="3"/>
              </w:numPr>
              <w:spacing w:line="320" w:lineRule="exact"/>
              <w:jc w:val="left"/>
              <w:textAlignment w:val="top"/>
              <w:rPr>
                <w:rFonts w:hint="eastAsia"/>
              </w:rPr>
            </w:pPr>
            <w:r>
              <w:rPr>
                <w:rFonts w:hint="eastAsia"/>
              </w:rPr>
              <w:t>容留</w:t>
            </w:r>
            <w:r>
              <w:rPr>
                <w:rFonts w:hint="eastAsia" w:ascii="宋体" w:hAnsi="宋体" w:eastAsia="宋体" w:cs="宋体"/>
                <w:color w:val="auto"/>
                <w:kern w:val="0"/>
                <w:sz w:val="21"/>
                <w:szCs w:val="21"/>
                <w:highlight w:val="none"/>
                <w:lang w:val="en-US" w:eastAsia="zh-CN"/>
              </w:rPr>
              <w:t>2</w:t>
            </w:r>
            <w:r>
              <w:rPr>
                <w:rFonts w:hint="eastAsia"/>
              </w:rPr>
              <w:t>人吸食、注射毒品；                    2、介绍未成年人购买毒品；                   3、其他情节较重。</w:t>
            </w:r>
          </w:p>
          <w:p>
            <w:pPr>
              <w:widowControl/>
              <w:numPr>
                <w:ilvl w:val="0"/>
                <w:numId w:val="0"/>
              </w:numPr>
              <w:spacing w:line="320" w:lineRule="exact"/>
              <w:jc w:val="left"/>
              <w:textAlignment w:val="top"/>
              <w:rPr>
                <w:rFonts w:hint="eastAsia"/>
              </w:rPr>
            </w:pPr>
          </w:p>
          <w:p>
            <w:pPr>
              <w:widowControl/>
              <w:numPr>
                <w:ilvl w:val="0"/>
                <w:numId w:val="0"/>
              </w:numPr>
              <w:spacing w:line="320" w:lineRule="exact"/>
              <w:jc w:val="left"/>
              <w:textAlignment w:val="top"/>
              <w:rPr>
                <w:rFonts w:hint="eastAsia"/>
              </w:rPr>
            </w:pPr>
          </w:p>
          <w:p>
            <w:pPr>
              <w:pStyle w:val="2"/>
              <w:rPr>
                <w:rFonts w:hint="eastAsia"/>
              </w:rPr>
            </w:pPr>
          </w:p>
        </w:tc>
        <w:tc>
          <w:tcPr>
            <w:tcW w:w="1577" w:type="dxa"/>
            <w:tcBorders>
              <w:tl2br w:val="nil"/>
              <w:tr2bl w:val="nil"/>
            </w:tcBorders>
            <w:noWrap w:val="0"/>
            <w:vAlign w:val="top"/>
          </w:tcPr>
          <w:p>
            <w:pPr>
              <w:widowControl/>
              <w:spacing w:line="320" w:lineRule="exact"/>
              <w:textAlignment w:val="top"/>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处10日以上15日以下拘留，可以并处2000元</w:t>
            </w:r>
            <w:r>
              <w:rPr>
                <w:rFonts w:hint="eastAsia" w:ascii="宋体" w:hAnsi="宋体" w:cs="宋体"/>
                <w:color w:val="auto"/>
                <w:kern w:val="0"/>
                <w:sz w:val="21"/>
                <w:szCs w:val="21"/>
                <w:highlight w:val="none"/>
                <w:lang w:val="en-US" w:eastAsia="zh-CN"/>
              </w:rPr>
              <w:t>以上</w:t>
            </w:r>
            <w:r>
              <w:rPr>
                <w:rFonts w:hint="eastAsia" w:ascii="宋体" w:hAnsi="宋体" w:eastAsia="宋体" w:cs="宋体"/>
                <w:color w:val="auto"/>
                <w:kern w:val="0"/>
                <w:sz w:val="21"/>
                <w:szCs w:val="21"/>
                <w:highlight w:val="none"/>
              </w:rPr>
              <w:t>3000元</w:t>
            </w:r>
            <w:r>
              <w:rPr>
                <w:rFonts w:hint="eastAsia" w:ascii="宋体" w:hAnsi="宋体" w:cs="宋体"/>
                <w:color w:val="auto"/>
                <w:kern w:val="0"/>
                <w:sz w:val="21"/>
                <w:szCs w:val="21"/>
                <w:highlight w:val="none"/>
                <w:lang w:val="en-US" w:eastAsia="zh-CN"/>
              </w:rPr>
              <w:t>以下</w:t>
            </w:r>
            <w:r>
              <w:rPr>
                <w:rFonts w:hint="eastAsia" w:ascii="宋体" w:hAnsi="宋体" w:eastAsia="宋体" w:cs="宋体"/>
                <w:color w:val="auto"/>
                <w:kern w:val="0"/>
                <w:sz w:val="21"/>
                <w:szCs w:val="21"/>
                <w:highlight w:val="none"/>
              </w:rPr>
              <w:t>罚款。</w:t>
            </w:r>
          </w:p>
        </w:tc>
      </w:tr>
    </w:tbl>
    <w:p>
      <w:pPr>
        <w:spacing w:afterLines="80" w:line="46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违反《易制毒化学品管理条例》处罚裁量基准</w:t>
      </w:r>
    </w:p>
    <w:tbl>
      <w:tblPr>
        <w:tblStyle w:val="7"/>
        <w:tblW w:w="0" w:type="auto"/>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20"/>
        <w:gridCol w:w="1671"/>
        <w:gridCol w:w="2564"/>
        <w:gridCol w:w="1433"/>
        <w:gridCol w:w="1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tblHeader/>
        </w:trPr>
        <w:tc>
          <w:tcPr>
            <w:tcW w:w="1320"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编  码</w:t>
            </w:r>
          </w:p>
        </w:tc>
        <w:tc>
          <w:tcPr>
            <w:tcW w:w="1671"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违法行为</w:t>
            </w:r>
          </w:p>
        </w:tc>
        <w:tc>
          <w:tcPr>
            <w:tcW w:w="2564"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法律依据</w:t>
            </w:r>
          </w:p>
        </w:tc>
        <w:tc>
          <w:tcPr>
            <w:tcW w:w="1433"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违法情节</w:t>
            </w:r>
          </w:p>
        </w:tc>
        <w:tc>
          <w:tcPr>
            <w:tcW w:w="1877"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46" w:hRule="atLeast"/>
        </w:trPr>
        <w:tc>
          <w:tcPr>
            <w:tcW w:w="1320" w:type="dxa"/>
            <w:tcBorders>
              <w:tl2br w:val="nil"/>
              <w:tr2bl w:val="nil"/>
            </w:tcBorders>
            <w:noWrap w:val="0"/>
            <w:vAlign w:val="top"/>
          </w:tcPr>
          <w:p>
            <w:pPr>
              <w:widowControl/>
              <w:spacing w:line="32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C05692A010</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C05694A010 C05696A010</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C05697A010</w:t>
            </w:r>
          </w:p>
        </w:tc>
        <w:tc>
          <w:tcPr>
            <w:tcW w:w="1671" w:type="dxa"/>
            <w:vMerge w:val="restart"/>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未经许可或者备案擅自生产、经营、购买、运输易制毒化学品；</w:t>
            </w:r>
          </w:p>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伪造申请材料骗取易制毒化学品生产、经营、购买或者运输许可证生产、经营、购买、运输易制毒化学品；</w:t>
            </w:r>
          </w:p>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使用他人的许可证生产、经营、购买、运输易制毒化学品；</w:t>
            </w:r>
          </w:p>
          <w:p>
            <w:pPr>
              <w:widowControl/>
              <w:spacing w:line="320" w:lineRule="exact"/>
              <w:jc w:val="left"/>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使用伪造、变造、失效的许可证生产、经营、购买、运输易制毒化学品。</w:t>
            </w:r>
          </w:p>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textWrapping"/>
            </w:r>
          </w:p>
        </w:tc>
        <w:tc>
          <w:tcPr>
            <w:tcW w:w="2564" w:type="dxa"/>
            <w:vMerge w:val="restart"/>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第三十八条第一款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万元的，按</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万元罚款；有违法所得的，没收违法所得；有营业执照的，由</w:t>
            </w:r>
            <w:r>
              <w:rPr>
                <w:rFonts w:hint="eastAsia" w:ascii="宋体" w:hAnsi="宋体" w:eastAsia="宋体" w:cs="宋体"/>
                <w:color w:val="auto"/>
                <w:kern w:val="0"/>
                <w:szCs w:val="21"/>
                <w:highlight w:val="none"/>
                <w:lang w:val="en-US" w:eastAsia="zh-CN"/>
              </w:rPr>
              <w:t>市场监督管理</w:t>
            </w:r>
            <w:r>
              <w:rPr>
                <w:rFonts w:hint="eastAsia" w:ascii="宋体" w:hAnsi="宋体" w:eastAsia="宋体" w:cs="宋体"/>
                <w:color w:val="auto"/>
                <w:kern w:val="0"/>
                <w:szCs w:val="21"/>
                <w:highlight w:val="none"/>
              </w:rPr>
              <w:t>部门吊销营业执照；构成犯罪的，依法追究刑事责任。</w:t>
            </w:r>
          </w:p>
          <w:p>
            <w:pPr>
              <w:widowControl/>
              <w:spacing w:line="320" w:lineRule="exact"/>
              <w:jc w:val="left"/>
              <w:textAlignment w:val="top"/>
              <w:rPr>
                <w:rFonts w:hint="eastAsia" w:ascii="宋体" w:hAnsi="宋体" w:eastAsia="宋体" w:cs="宋体"/>
                <w:color w:val="auto"/>
                <w:kern w:val="0"/>
                <w:szCs w:val="21"/>
                <w:highlight w:val="none"/>
              </w:rPr>
            </w:pPr>
          </w:p>
        </w:tc>
        <w:tc>
          <w:tcPr>
            <w:tcW w:w="1433" w:type="dxa"/>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1、初次违法；                                      2、</w:t>
            </w:r>
            <w:r>
              <w:rPr>
                <w:rFonts w:hint="eastAsia" w:ascii="宋体" w:hAnsi="宋体" w:cs="宋体"/>
                <w:color w:val="auto"/>
                <w:kern w:val="0"/>
                <w:szCs w:val="21"/>
                <w:highlight w:val="none"/>
                <w:lang w:val="en-US" w:eastAsia="zh-CN"/>
              </w:rPr>
              <w:t>违反本条规定生产、经营、</w:t>
            </w:r>
            <w:r>
              <w:rPr>
                <w:rFonts w:hint="eastAsia" w:ascii="宋体" w:hAnsi="宋体" w:eastAsia="宋体" w:cs="宋体"/>
                <w:color w:val="auto"/>
                <w:kern w:val="0"/>
                <w:szCs w:val="21"/>
                <w:highlight w:val="none"/>
              </w:rPr>
              <w:t>购买、运输少量易制毒化学品，有证据证明确实用于合法生产、生活需要，且未流入非法渠道。</w:t>
            </w:r>
          </w:p>
        </w:tc>
        <w:tc>
          <w:tcPr>
            <w:tcW w:w="1877" w:type="dxa"/>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没收非法生产、经营、购买或者运输的易制毒化学品、用于非法生产易制毒化学品的原料以及非法生产、经营、购买或者运输易制毒化学品的设备、工具</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处非法</w:t>
            </w:r>
            <w:r>
              <w:rPr>
                <w:rFonts w:hint="eastAsia" w:ascii="宋体" w:hAnsi="宋体" w:cs="宋体"/>
                <w:color w:val="auto"/>
                <w:kern w:val="0"/>
                <w:szCs w:val="21"/>
                <w:highlight w:val="none"/>
                <w:lang w:val="en-US" w:eastAsia="zh-CN"/>
              </w:rPr>
              <w:t>生产、经营、</w:t>
            </w:r>
            <w:r>
              <w:rPr>
                <w:rFonts w:hint="eastAsia" w:ascii="宋体" w:hAnsi="宋体" w:eastAsia="宋体" w:cs="宋体"/>
                <w:color w:val="auto"/>
                <w:kern w:val="0"/>
                <w:szCs w:val="21"/>
                <w:highlight w:val="none"/>
              </w:rPr>
              <w:t>购买或者运输的易制毒化学品货值10倍罚款，货值的20倍不足1万元的，按1万元罚款；有违法所得的，没收违法所得；构成犯罪的，依法追究刑事责任。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31" w:hRule="atLeast"/>
        </w:trPr>
        <w:tc>
          <w:tcPr>
            <w:tcW w:w="1320" w:type="dxa"/>
            <w:tcBorders>
              <w:bottom w:val="single" w:color="auto" w:sz="4" w:space="0"/>
              <w:tl2br w:val="nil"/>
              <w:tr2bl w:val="nil"/>
            </w:tcBorders>
            <w:noWrap w:val="0"/>
            <w:vAlign w:val="top"/>
          </w:tcPr>
          <w:p>
            <w:pPr>
              <w:widowControl/>
              <w:spacing w:line="32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C05692A020</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C05694A020</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C05696A020</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C05697A020</w:t>
            </w:r>
          </w:p>
        </w:tc>
        <w:tc>
          <w:tcPr>
            <w:tcW w:w="1671" w:type="dxa"/>
            <w:vMerge w:val="continue"/>
            <w:tcBorders>
              <w:bottom w:val="single" w:color="auto" w:sz="4" w:space="0"/>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p>
        </w:tc>
        <w:tc>
          <w:tcPr>
            <w:tcW w:w="2564" w:type="dxa"/>
            <w:vMerge w:val="continue"/>
            <w:tcBorders>
              <w:bottom w:val="single" w:color="auto" w:sz="4" w:space="0"/>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p>
        </w:tc>
        <w:tc>
          <w:tcPr>
            <w:tcW w:w="1433" w:type="dxa"/>
            <w:tcBorders>
              <w:bottom w:val="single" w:color="auto" w:sz="4" w:space="0"/>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违反本条规定</w:t>
            </w:r>
            <w:r>
              <w:rPr>
                <w:rFonts w:hint="eastAsia" w:ascii="宋体" w:hAnsi="宋体" w:eastAsia="宋体" w:cs="宋体"/>
                <w:color w:val="auto"/>
                <w:kern w:val="0"/>
                <w:szCs w:val="21"/>
                <w:highlight w:val="none"/>
              </w:rPr>
              <w:t>生产、经营、购买、运输易制毒化学品数量较大，有证据证明确实用于合法生产、生活需要，且未流入非法渠道；</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2、其他一般违法行为。</w:t>
            </w:r>
          </w:p>
        </w:tc>
        <w:tc>
          <w:tcPr>
            <w:tcW w:w="1877" w:type="dxa"/>
            <w:tcBorders>
              <w:bottom w:val="single" w:color="auto" w:sz="4" w:space="0"/>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没收非法生产、经营、购买或者运输的易制毒化学品、用于非法生产易制毒化学品的原料以及非法生产、经营、购买或者运输易制毒化学品的设备、工具</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处非法</w:t>
            </w:r>
            <w:r>
              <w:rPr>
                <w:rFonts w:hint="eastAsia" w:ascii="宋体" w:hAnsi="宋体" w:cs="宋体"/>
                <w:color w:val="auto"/>
                <w:kern w:val="0"/>
                <w:szCs w:val="21"/>
                <w:highlight w:val="none"/>
                <w:lang w:val="en-US" w:eastAsia="zh-CN"/>
              </w:rPr>
              <w:t>生产、经营、</w:t>
            </w:r>
            <w:r>
              <w:rPr>
                <w:rFonts w:hint="eastAsia" w:ascii="宋体" w:hAnsi="宋体" w:eastAsia="宋体" w:cs="宋体"/>
                <w:color w:val="auto"/>
                <w:kern w:val="0"/>
                <w:szCs w:val="21"/>
                <w:highlight w:val="none"/>
              </w:rPr>
              <w:t>购买或者运输的易制毒化学品货值10倍以上15倍以下罚款，货值的20倍不足1万元的，按1万元罚款；有违法所得的，没收违法所得；构成犯罪的，依法追究刑事责任。</w:t>
            </w:r>
          </w:p>
          <w:p>
            <w:pPr>
              <w:widowControl/>
              <w:spacing w:line="32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38" w:hRule="atLeast"/>
        </w:trPr>
        <w:tc>
          <w:tcPr>
            <w:tcW w:w="1320" w:type="dxa"/>
            <w:tcBorders>
              <w:top w:val="single" w:color="auto" w:sz="4" w:space="0"/>
              <w:left w:val="single" w:color="auto" w:sz="4" w:space="0"/>
              <w:bottom w:val="nil"/>
              <w:right w:val="single" w:color="auto" w:sz="4" w:space="0"/>
              <w:tl2br w:val="nil"/>
              <w:tr2bl w:val="nil"/>
            </w:tcBorders>
            <w:noWrap w:val="0"/>
            <w:vAlign w:val="top"/>
          </w:tcPr>
          <w:p>
            <w:pPr>
              <w:widowControl/>
              <w:spacing w:line="320" w:lineRule="exact"/>
              <w:jc w:val="center"/>
              <w:textAlignment w:val="top"/>
              <w:rPr>
                <w:color w:val="auto"/>
                <w:highlight w:val="none"/>
              </w:rPr>
            </w:pPr>
            <w:r>
              <w:rPr>
                <w:rFonts w:hint="eastAsia" w:ascii="宋体" w:hAnsi="宋体" w:eastAsia="宋体" w:cs="宋体"/>
                <w:color w:val="auto"/>
                <w:kern w:val="0"/>
                <w:szCs w:val="21"/>
                <w:highlight w:val="none"/>
              </w:rPr>
              <w:t>C05692A030</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C05694A030 C05696A030</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C05697A030</w:t>
            </w:r>
          </w:p>
        </w:tc>
        <w:tc>
          <w:tcPr>
            <w:tcW w:w="1671" w:type="dxa"/>
            <w:vMerge w:val="continue"/>
            <w:tcBorders>
              <w:top w:val="single" w:color="auto" w:sz="4" w:space="0"/>
              <w:left w:val="single" w:color="auto" w:sz="4" w:space="0"/>
              <w:bottom w:val="nil"/>
              <w:right w:val="single" w:color="auto" w:sz="4" w:space="0"/>
              <w:tl2br w:val="nil"/>
              <w:tr2bl w:val="nil"/>
            </w:tcBorders>
            <w:noWrap w:val="0"/>
            <w:vAlign w:val="top"/>
          </w:tcPr>
          <w:p>
            <w:pPr>
              <w:widowControl/>
              <w:spacing w:line="320" w:lineRule="exact"/>
              <w:jc w:val="left"/>
              <w:textAlignment w:val="top"/>
              <w:rPr>
                <w:color w:val="auto"/>
                <w:highlight w:val="none"/>
              </w:rPr>
            </w:pPr>
          </w:p>
        </w:tc>
        <w:tc>
          <w:tcPr>
            <w:tcW w:w="2564" w:type="dxa"/>
            <w:vMerge w:val="continue"/>
            <w:tcBorders>
              <w:top w:val="single" w:color="auto" w:sz="4" w:space="0"/>
              <w:left w:val="single" w:color="auto" w:sz="4" w:space="0"/>
              <w:bottom w:val="nil"/>
              <w:right w:val="single" w:color="auto" w:sz="4" w:space="0"/>
              <w:tl2br w:val="nil"/>
              <w:tr2bl w:val="nil"/>
            </w:tcBorders>
            <w:noWrap w:val="0"/>
            <w:vAlign w:val="top"/>
          </w:tcPr>
          <w:p>
            <w:pPr>
              <w:widowControl/>
              <w:spacing w:line="320" w:lineRule="exact"/>
              <w:jc w:val="left"/>
              <w:textAlignment w:val="top"/>
              <w:rPr>
                <w:color w:val="auto"/>
                <w:highlight w:val="none"/>
              </w:rPr>
            </w:pPr>
          </w:p>
        </w:tc>
        <w:tc>
          <w:tcPr>
            <w:tcW w:w="1433" w:type="dxa"/>
            <w:tcBorders>
              <w:top w:val="single" w:color="auto" w:sz="4" w:space="0"/>
              <w:left w:val="single" w:color="auto" w:sz="4" w:space="0"/>
              <w:bottom w:val="nil"/>
              <w:right w:val="single" w:color="auto" w:sz="4" w:space="0"/>
              <w:tl2br w:val="nil"/>
              <w:tr2bl w:val="nil"/>
            </w:tcBorders>
            <w:noWrap w:val="0"/>
            <w:vAlign w:val="top"/>
          </w:tcPr>
          <w:p>
            <w:pPr>
              <w:widowControl/>
              <w:spacing w:line="320" w:lineRule="exact"/>
              <w:jc w:val="left"/>
              <w:textAlignment w:val="top"/>
              <w:rPr>
                <w:color w:val="auto"/>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违反本条规定生产、经营、</w:t>
            </w:r>
            <w:r>
              <w:rPr>
                <w:rFonts w:hint="eastAsia" w:ascii="宋体" w:hAnsi="宋体" w:eastAsia="宋体" w:cs="宋体"/>
                <w:color w:val="auto"/>
                <w:kern w:val="0"/>
                <w:szCs w:val="21"/>
                <w:highlight w:val="none"/>
              </w:rPr>
              <w:t>购买、运输易制毒化学品</w:t>
            </w:r>
            <w:r>
              <w:rPr>
                <w:rFonts w:hint="eastAsia" w:ascii="宋体" w:hAnsi="宋体" w:cs="宋体"/>
                <w:color w:val="auto"/>
                <w:kern w:val="0"/>
                <w:szCs w:val="21"/>
                <w:highlight w:val="none"/>
                <w:lang w:val="en-US" w:eastAsia="zh-CN"/>
              </w:rPr>
              <w:t>数量大</w:t>
            </w:r>
            <w:r>
              <w:rPr>
                <w:rFonts w:hint="eastAsia" w:ascii="宋体" w:hAnsi="宋体" w:eastAsia="宋体" w:cs="宋体"/>
                <w:color w:val="auto"/>
                <w:kern w:val="0"/>
                <w:szCs w:val="21"/>
                <w:highlight w:val="none"/>
              </w:rPr>
              <w:t>，且有证据证明确实用于合法生产、生活需要；</w:t>
            </w:r>
            <w:r>
              <w:rPr>
                <w:rFonts w:hint="eastAsia" w:ascii="宋体" w:hAnsi="宋体" w:eastAsia="宋体" w:cs="宋体"/>
                <w:color w:val="auto"/>
                <w:kern w:val="0"/>
                <w:szCs w:val="21"/>
                <w:highlight w:val="none"/>
              </w:rPr>
              <w:br w:type="textWrapping"/>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、其他严重违法行为。</w:t>
            </w:r>
          </w:p>
        </w:tc>
        <w:tc>
          <w:tcPr>
            <w:tcW w:w="1877" w:type="dxa"/>
            <w:tcBorders>
              <w:top w:val="single" w:color="auto" w:sz="4" w:space="0"/>
              <w:left w:val="single" w:color="auto" w:sz="4" w:space="0"/>
              <w:bottom w:val="nil"/>
              <w:right w:val="single" w:color="auto" w:sz="4" w:space="0"/>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没收非法生产、经营、购买或者运输的易制毒化学品、用于非法生产易制毒化学品的原料以及非法生产、经营、购买或者运输易制毒化学品的设备、工具</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处非法</w:t>
            </w:r>
            <w:r>
              <w:rPr>
                <w:rFonts w:hint="eastAsia" w:ascii="宋体" w:hAnsi="宋体" w:cs="宋体"/>
                <w:color w:val="auto"/>
                <w:kern w:val="0"/>
                <w:szCs w:val="21"/>
                <w:highlight w:val="none"/>
                <w:lang w:val="en-US" w:eastAsia="zh-CN"/>
              </w:rPr>
              <w:t>生产、经营、</w:t>
            </w:r>
            <w:r>
              <w:rPr>
                <w:rFonts w:hint="eastAsia" w:ascii="宋体" w:hAnsi="宋体" w:eastAsia="宋体" w:cs="宋体"/>
                <w:color w:val="auto"/>
                <w:kern w:val="0"/>
                <w:szCs w:val="21"/>
                <w:highlight w:val="none"/>
              </w:rPr>
              <w:t>购买或者运输的易制毒化学品货值15倍以上20倍以下罚款，货值的20倍不足1万元的，按1万元罚款；有违法所得的，没收违法所得；构成犯罪的，依法追究刑事责任。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530" w:hRule="atLeas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C05698A010</w:t>
            </w:r>
            <w:r>
              <w:rPr>
                <w:rFonts w:hint="eastAsia" w:ascii="宋体" w:hAnsi="宋体" w:cs="宋体"/>
                <w:color w:val="auto"/>
                <w:kern w:val="0"/>
                <w:szCs w:val="21"/>
                <w:highlight w:val="none"/>
                <w:lang w:val="en-US" w:eastAsia="zh-CN"/>
              </w:rPr>
              <w:t>-</w:t>
            </w:r>
          </w:p>
          <w:p>
            <w:pPr>
              <w:widowControl/>
              <w:spacing w:line="300" w:lineRule="exact"/>
              <w:jc w:val="center"/>
              <w:textAlignment w:val="top"/>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700</w:t>
            </w:r>
            <w:r>
              <w:rPr>
                <w:rFonts w:hint="eastAsia" w:ascii="宋体" w:hAnsi="宋体" w:eastAsia="宋体" w:cs="宋体"/>
                <w:color w:val="auto"/>
                <w:kern w:val="0"/>
                <w:szCs w:val="21"/>
                <w:highlight w:val="none"/>
              </w:rPr>
              <w:t>A010</w:t>
            </w:r>
            <w:r>
              <w:rPr>
                <w:rFonts w:hint="eastAsia" w:ascii="宋体" w:hAnsi="宋体" w:cs="宋体"/>
                <w:color w:val="auto"/>
                <w:kern w:val="0"/>
                <w:szCs w:val="21"/>
                <w:highlight w:val="none"/>
                <w:lang w:eastAsia="zh-CN"/>
              </w:rPr>
              <w:t>，</w:t>
            </w:r>
          </w:p>
          <w:p>
            <w:pPr>
              <w:widowControl/>
              <w:spacing w:line="300" w:lineRule="exact"/>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702</w:t>
            </w:r>
            <w:r>
              <w:rPr>
                <w:rFonts w:hint="eastAsia" w:ascii="宋体" w:hAnsi="宋体" w:eastAsia="宋体" w:cs="宋体"/>
                <w:color w:val="auto"/>
                <w:kern w:val="0"/>
                <w:szCs w:val="21"/>
                <w:highlight w:val="none"/>
              </w:rPr>
              <w:t>A010</w:t>
            </w:r>
            <w:r>
              <w:rPr>
                <w:rFonts w:hint="eastAsia" w:ascii="宋体" w:hAnsi="宋体" w:cs="宋体"/>
                <w:color w:val="auto"/>
                <w:kern w:val="0"/>
                <w:szCs w:val="21"/>
                <w:highlight w:val="none"/>
                <w:lang w:val="en-US" w:eastAsia="zh-CN"/>
              </w:rPr>
              <w:t>-</w:t>
            </w:r>
          </w:p>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705</w:t>
            </w:r>
            <w:r>
              <w:rPr>
                <w:rFonts w:hint="eastAsia" w:ascii="宋体" w:hAnsi="宋体" w:eastAsia="宋体" w:cs="宋体"/>
                <w:color w:val="auto"/>
                <w:kern w:val="0"/>
                <w:szCs w:val="21"/>
                <w:highlight w:val="none"/>
              </w:rPr>
              <w:t>A010</w:t>
            </w:r>
          </w:p>
        </w:tc>
        <w:tc>
          <w:tcPr>
            <w:tcW w:w="1671"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1、未按规定建立安全管理制度；                      2、转借易制毒化学品购买、运输许可证、备案证明；</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3、超出购买许可、备案范围购买易制毒化学品；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4、未按规定记录、保存、备案易制毒化学品交易情况的行为；                            5、易制毒化学品丢失、被盗、被抢不报；                       6、使用现金、实物交易易制毒化学品；                          </w:t>
            </w:r>
            <w:r>
              <w:rPr>
                <w:rFonts w:hint="eastAsia" w:ascii="宋体" w:hAnsi="宋体" w:eastAsia="宋体" w:cs="宋体"/>
                <w:color w:val="auto"/>
                <w:kern w:val="0"/>
                <w:szCs w:val="21"/>
                <w:highlight w:val="none"/>
              </w:rPr>
              <w:br w:type="textWrapping"/>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、未按规定报告易制毒化学品年度生产、经销和库存等情况。</w:t>
            </w:r>
          </w:p>
        </w:tc>
        <w:tc>
          <w:tcPr>
            <w:tcW w:w="2564" w:type="dxa"/>
            <w:vMerge w:val="restart"/>
            <w:tcBorders>
              <w:tl2br w:val="nil"/>
              <w:tr2bl w:val="nil"/>
            </w:tcBorders>
            <w:noWrap w:val="0"/>
            <w:vAlign w:val="top"/>
          </w:tcPr>
          <w:p>
            <w:pPr>
              <w:widowControl/>
              <w:numPr>
                <w:ilvl w:val="0"/>
                <w:numId w:val="0"/>
              </w:numPr>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第四十条第一款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                              （一）易制毒化学品生产、经营、购买、运输或者进口、出口单位未按规定建立安全管理制度的。                                    （二）将许可证或者备案证明转借他人使用的；</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（三）超出许可的品种、数量生产、经营、购买易制毒化学品的；                                （四）生产、经营、购买单位不记录或者不如实记录交易情况、不按规定保存交易记录或者不如实、不及时向公安机关和有关行政主管部门备案销售情况的；                                  （五）易制毒化学品丢失、被盗、被抢后未及时报告，造成严重后果的；                                     （六）除个人合法购买第一类中的药品类易制毒化学品药品制剂以及第三类易制毒化学品外，使用现金或者实物进行易制毒化学品交易的；                                                （</w:t>
            </w:r>
            <w:r>
              <w:rPr>
                <w:rFonts w:hint="eastAsia" w:ascii="宋体" w:hAnsi="宋体" w:cs="宋体"/>
                <w:color w:val="auto"/>
                <w:kern w:val="0"/>
                <w:szCs w:val="21"/>
                <w:highlight w:val="none"/>
                <w:lang w:val="en-US" w:eastAsia="zh-CN"/>
              </w:rPr>
              <w:t>八</w:t>
            </w:r>
            <w:r>
              <w:rPr>
                <w:rFonts w:hint="eastAsia" w:ascii="宋体" w:hAnsi="宋体" w:eastAsia="宋体" w:cs="宋体"/>
                <w:color w:val="auto"/>
                <w:kern w:val="0"/>
                <w:szCs w:val="21"/>
                <w:highlight w:val="none"/>
              </w:rPr>
              <w:t>）生产、经营易制毒化学品的单位不如实或者不按时向有关行政主管部门和公安机关报告年度生产、经销和库存等情况的。</w:t>
            </w:r>
            <w:bookmarkStart w:id="0" w:name="_GoBack"/>
            <w:bookmarkEnd w:id="0"/>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初次违法，尚未造成后果。</w:t>
            </w:r>
          </w:p>
        </w:tc>
        <w:tc>
          <w:tcPr>
            <w:tcW w:w="1877" w:type="dxa"/>
            <w:tcBorders>
              <w:tl2br w:val="nil"/>
              <w:tr2bl w:val="nil"/>
            </w:tcBorders>
            <w:noWrap w:val="0"/>
            <w:vAlign w:val="top"/>
          </w:tcPr>
          <w:p>
            <w:pPr>
              <w:widowControl/>
              <w:spacing w:line="300" w:lineRule="exact"/>
              <w:jc w:val="left"/>
              <w:textAlignment w:val="top"/>
              <w:rPr>
                <w:rFonts w:hint="eastAsia" w:eastAsia="宋体"/>
                <w:lang w:eastAsia="zh-CN"/>
              </w:rPr>
            </w:pPr>
            <w:r>
              <w:rPr>
                <w:rFonts w:hint="eastAsia"/>
                <w:lang w:val="en-US" w:eastAsia="zh-CN"/>
              </w:rPr>
              <w:t>给予</w:t>
            </w:r>
            <w:r>
              <w:rPr>
                <w:rFonts w:hint="eastAsia"/>
              </w:rPr>
              <w:t>警告，责令限期改正，处1万元以上2万元以下的罚款</w:t>
            </w:r>
            <w:r>
              <w:rPr>
                <w:rFonts w:hint="eastAsia"/>
                <w:lang w:eastAsia="zh-CN"/>
              </w:rPr>
              <w:t>，</w:t>
            </w:r>
          </w:p>
          <w:p>
            <w:pPr>
              <w:widowControl/>
              <w:spacing w:line="300" w:lineRule="exact"/>
              <w:jc w:val="left"/>
              <w:textAlignment w:val="top"/>
              <w:rPr>
                <w:rFonts w:hint="eastAsia"/>
                <w:highlight w:val="none"/>
              </w:rPr>
            </w:pPr>
            <w:r>
              <w:rPr>
                <w:rFonts w:hint="eastAsia" w:ascii="宋体" w:hAnsi="宋体" w:eastAsia="宋体" w:cs="宋体"/>
                <w:color w:val="auto"/>
                <w:kern w:val="0"/>
                <w:szCs w:val="21"/>
                <w:highlight w:val="none"/>
              </w:rPr>
              <w:t>可以没收违反规定生产、经营、购买的易制毒化学品。</w:t>
            </w:r>
          </w:p>
          <w:p>
            <w:pPr>
              <w:widowControl/>
              <w:spacing w:line="300" w:lineRule="exact"/>
              <w:jc w:val="left"/>
              <w:textAlignment w:val="top"/>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9" w:hRule="atLeas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C05698A0</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0</w:t>
            </w:r>
            <w:r>
              <w:rPr>
                <w:rFonts w:hint="eastAsia" w:ascii="宋体" w:hAnsi="宋体" w:cs="宋体"/>
                <w:color w:val="auto"/>
                <w:kern w:val="0"/>
                <w:szCs w:val="21"/>
                <w:highlight w:val="none"/>
                <w:lang w:val="en-US" w:eastAsia="zh-CN"/>
              </w:rPr>
              <w:t>-</w:t>
            </w:r>
          </w:p>
          <w:p>
            <w:pPr>
              <w:widowControl/>
              <w:spacing w:line="300" w:lineRule="exact"/>
              <w:jc w:val="center"/>
              <w:textAlignment w:val="top"/>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700</w:t>
            </w:r>
            <w:r>
              <w:rPr>
                <w:rFonts w:hint="eastAsia" w:ascii="宋体" w:hAnsi="宋体" w:eastAsia="宋体" w:cs="宋体"/>
                <w:color w:val="auto"/>
                <w:kern w:val="0"/>
                <w:szCs w:val="21"/>
                <w:highlight w:val="none"/>
              </w:rPr>
              <w:t>A0</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0</w:t>
            </w:r>
            <w:r>
              <w:rPr>
                <w:rFonts w:hint="eastAsia" w:ascii="宋体" w:hAnsi="宋体" w:cs="宋体"/>
                <w:color w:val="auto"/>
                <w:kern w:val="0"/>
                <w:szCs w:val="21"/>
                <w:highlight w:val="none"/>
                <w:lang w:eastAsia="zh-CN"/>
              </w:rPr>
              <w:t>，</w:t>
            </w:r>
          </w:p>
          <w:p>
            <w:pPr>
              <w:widowControl/>
              <w:spacing w:line="300" w:lineRule="exact"/>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702</w:t>
            </w:r>
            <w:r>
              <w:rPr>
                <w:rFonts w:hint="eastAsia" w:ascii="宋体" w:hAnsi="宋体" w:eastAsia="宋体" w:cs="宋体"/>
                <w:color w:val="auto"/>
                <w:kern w:val="0"/>
                <w:szCs w:val="21"/>
                <w:highlight w:val="none"/>
              </w:rPr>
              <w:t>A0</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0</w:t>
            </w:r>
            <w:r>
              <w:rPr>
                <w:rFonts w:hint="eastAsia" w:ascii="宋体" w:hAnsi="宋体" w:cs="宋体"/>
                <w:color w:val="auto"/>
                <w:kern w:val="0"/>
                <w:szCs w:val="21"/>
                <w:highlight w:val="none"/>
                <w:lang w:val="en-US" w:eastAsia="zh-CN"/>
              </w:rPr>
              <w:t>-</w:t>
            </w:r>
          </w:p>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705</w:t>
            </w:r>
            <w:r>
              <w:rPr>
                <w:rFonts w:hint="eastAsia" w:ascii="宋体" w:hAnsi="宋体" w:eastAsia="宋体" w:cs="宋体"/>
                <w:color w:val="auto"/>
                <w:kern w:val="0"/>
                <w:szCs w:val="21"/>
                <w:highlight w:val="none"/>
              </w:rPr>
              <w:t>A0</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0</w:t>
            </w:r>
          </w:p>
        </w:tc>
        <w:tc>
          <w:tcPr>
            <w:tcW w:w="1671"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256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初次违法，已造成一定后果。</w:t>
            </w:r>
          </w:p>
        </w:tc>
        <w:tc>
          <w:tcPr>
            <w:tcW w:w="187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yellow"/>
              </w:rPr>
            </w:pPr>
            <w:r>
              <w:rPr>
                <w:rFonts w:hint="eastAsia" w:ascii="宋体" w:hAnsi="宋体" w:cs="宋体"/>
                <w:color w:val="auto"/>
                <w:kern w:val="0"/>
                <w:szCs w:val="21"/>
                <w:highlight w:val="none"/>
                <w:lang w:val="en-US" w:eastAsia="zh-CN"/>
              </w:rPr>
              <w:t>给予</w:t>
            </w:r>
            <w:r>
              <w:rPr>
                <w:rFonts w:hint="eastAsia" w:ascii="宋体" w:hAnsi="宋体" w:eastAsia="宋体" w:cs="宋体"/>
                <w:color w:val="auto"/>
                <w:kern w:val="0"/>
                <w:szCs w:val="21"/>
                <w:highlight w:val="none"/>
              </w:rPr>
              <w:t>警告，责令限期改正，处2万元以上5万元以下的罚款，可以没收违反规定生产、经营、购买的易制毒化学品。</w:t>
            </w:r>
          </w:p>
          <w:p>
            <w:pPr>
              <w:pStyle w:val="2"/>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rPr>
                <w:rFonts w:hint="eastAsia"/>
              </w:rPr>
            </w:pPr>
          </w:p>
          <w:p>
            <w:pPr>
              <w:pStyle w:val="2"/>
              <w:rPr>
                <w:rFonts w:hint="eastAsia"/>
              </w:rPr>
            </w:pPr>
          </w:p>
          <w:p>
            <w:pPr>
              <w:rPr>
                <w:rFonts w:hint="eastAsia"/>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94" w:hRule="atLeas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C05698A0</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0</w:t>
            </w:r>
            <w:r>
              <w:rPr>
                <w:rFonts w:hint="eastAsia" w:ascii="宋体" w:hAnsi="宋体" w:cs="宋体"/>
                <w:color w:val="auto"/>
                <w:kern w:val="0"/>
                <w:szCs w:val="21"/>
                <w:highlight w:val="none"/>
                <w:lang w:val="en-US" w:eastAsia="zh-CN"/>
              </w:rPr>
              <w:t>-</w:t>
            </w:r>
          </w:p>
          <w:p>
            <w:pPr>
              <w:widowControl/>
              <w:spacing w:line="300" w:lineRule="exact"/>
              <w:jc w:val="center"/>
              <w:textAlignment w:val="top"/>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700</w:t>
            </w:r>
            <w:r>
              <w:rPr>
                <w:rFonts w:hint="eastAsia" w:ascii="宋体" w:hAnsi="宋体" w:eastAsia="宋体" w:cs="宋体"/>
                <w:color w:val="auto"/>
                <w:kern w:val="0"/>
                <w:szCs w:val="21"/>
                <w:highlight w:val="none"/>
              </w:rPr>
              <w:t>A0</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0</w:t>
            </w:r>
            <w:r>
              <w:rPr>
                <w:rFonts w:hint="eastAsia" w:ascii="宋体" w:hAnsi="宋体" w:cs="宋体"/>
                <w:color w:val="auto"/>
                <w:kern w:val="0"/>
                <w:szCs w:val="21"/>
                <w:highlight w:val="none"/>
                <w:lang w:eastAsia="zh-CN"/>
              </w:rPr>
              <w:t>，</w:t>
            </w:r>
          </w:p>
          <w:p>
            <w:pPr>
              <w:widowControl/>
              <w:spacing w:line="300" w:lineRule="exact"/>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702</w:t>
            </w:r>
            <w:r>
              <w:rPr>
                <w:rFonts w:hint="eastAsia" w:ascii="宋体" w:hAnsi="宋体" w:eastAsia="宋体" w:cs="宋体"/>
                <w:color w:val="auto"/>
                <w:kern w:val="0"/>
                <w:szCs w:val="21"/>
                <w:highlight w:val="none"/>
              </w:rPr>
              <w:t>A0</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0</w:t>
            </w:r>
            <w:r>
              <w:rPr>
                <w:rFonts w:hint="eastAsia" w:ascii="宋体" w:hAnsi="宋体" w:cs="宋体"/>
                <w:color w:val="auto"/>
                <w:kern w:val="0"/>
                <w:szCs w:val="21"/>
                <w:highlight w:val="none"/>
                <w:lang w:val="en-US" w:eastAsia="zh-CN"/>
              </w:rPr>
              <w:t>-</w:t>
            </w:r>
          </w:p>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705</w:t>
            </w:r>
            <w:r>
              <w:rPr>
                <w:rFonts w:hint="eastAsia" w:ascii="宋体" w:hAnsi="宋体" w:eastAsia="宋体" w:cs="宋体"/>
                <w:color w:val="auto"/>
                <w:kern w:val="0"/>
                <w:szCs w:val="21"/>
                <w:highlight w:val="none"/>
              </w:rPr>
              <w:t>A0</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0</w:t>
            </w:r>
          </w:p>
        </w:tc>
        <w:tc>
          <w:tcPr>
            <w:tcW w:w="1671"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256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经处罚后，逾期</w:t>
            </w:r>
            <w:r>
              <w:rPr>
                <w:rFonts w:hint="eastAsia" w:ascii="宋体" w:hAnsi="宋体" w:cs="宋体"/>
                <w:color w:val="auto"/>
                <w:kern w:val="0"/>
                <w:szCs w:val="21"/>
                <w:highlight w:val="none"/>
                <w:lang w:val="en-US" w:eastAsia="zh-CN"/>
              </w:rPr>
              <w:t>不改正的。</w:t>
            </w:r>
          </w:p>
        </w:tc>
        <w:tc>
          <w:tcPr>
            <w:tcW w:w="187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责令限期停产停业整顿</w:t>
            </w: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34" w:hRule="atLeas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C05698A0</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0</w:t>
            </w:r>
            <w:r>
              <w:rPr>
                <w:rFonts w:hint="eastAsia" w:ascii="宋体" w:hAnsi="宋体" w:cs="宋体"/>
                <w:color w:val="auto"/>
                <w:kern w:val="0"/>
                <w:szCs w:val="21"/>
                <w:highlight w:val="none"/>
                <w:lang w:val="en-US" w:eastAsia="zh-CN"/>
              </w:rPr>
              <w:t>-</w:t>
            </w:r>
          </w:p>
          <w:p>
            <w:pPr>
              <w:widowControl/>
              <w:spacing w:line="300" w:lineRule="exact"/>
              <w:jc w:val="center"/>
              <w:textAlignment w:val="top"/>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700</w:t>
            </w:r>
            <w:r>
              <w:rPr>
                <w:rFonts w:hint="eastAsia" w:ascii="宋体" w:hAnsi="宋体" w:eastAsia="宋体" w:cs="宋体"/>
                <w:color w:val="auto"/>
                <w:kern w:val="0"/>
                <w:szCs w:val="21"/>
                <w:highlight w:val="none"/>
              </w:rPr>
              <w:t>A0</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0</w:t>
            </w:r>
            <w:r>
              <w:rPr>
                <w:rFonts w:hint="eastAsia" w:ascii="宋体" w:hAnsi="宋体" w:cs="宋体"/>
                <w:color w:val="auto"/>
                <w:kern w:val="0"/>
                <w:szCs w:val="21"/>
                <w:highlight w:val="none"/>
                <w:lang w:eastAsia="zh-CN"/>
              </w:rPr>
              <w:t>，</w:t>
            </w:r>
          </w:p>
          <w:p>
            <w:pPr>
              <w:widowControl/>
              <w:spacing w:line="300" w:lineRule="exact"/>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702</w:t>
            </w:r>
            <w:r>
              <w:rPr>
                <w:rFonts w:hint="eastAsia" w:ascii="宋体" w:hAnsi="宋体" w:eastAsia="宋体" w:cs="宋体"/>
                <w:color w:val="auto"/>
                <w:kern w:val="0"/>
                <w:szCs w:val="21"/>
                <w:highlight w:val="none"/>
              </w:rPr>
              <w:t>A0</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0</w:t>
            </w:r>
            <w:r>
              <w:rPr>
                <w:rFonts w:hint="eastAsia" w:ascii="宋体" w:hAnsi="宋体" w:cs="宋体"/>
                <w:color w:val="auto"/>
                <w:kern w:val="0"/>
                <w:szCs w:val="21"/>
                <w:highlight w:val="none"/>
                <w:lang w:val="en-US" w:eastAsia="zh-CN"/>
              </w:rPr>
              <w:t>-</w:t>
            </w:r>
          </w:p>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w:t>
            </w:r>
            <w:r>
              <w:rPr>
                <w:rFonts w:hint="eastAsia" w:ascii="宋体" w:hAnsi="宋体" w:cs="宋体"/>
                <w:color w:val="auto"/>
                <w:kern w:val="0"/>
                <w:szCs w:val="21"/>
                <w:highlight w:val="none"/>
                <w:lang w:val="en-US" w:eastAsia="zh-CN"/>
              </w:rPr>
              <w:t>705</w:t>
            </w:r>
            <w:r>
              <w:rPr>
                <w:rFonts w:hint="eastAsia" w:ascii="宋体" w:hAnsi="宋体" w:eastAsia="宋体" w:cs="宋体"/>
                <w:color w:val="auto"/>
                <w:kern w:val="0"/>
                <w:szCs w:val="21"/>
                <w:highlight w:val="none"/>
              </w:rPr>
              <w:t>A0</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0</w:t>
            </w:r>
          </w:p>
        </w:tc>
        <w:tc>
          <w:tcPr>
            <w:tcW w:w="1671"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256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逾期整顿不合格</w:t>
            </w:r>
          </w:p>
        </w:tc>
        <w:tc>
          <w:tcPr>
            <w:tcW w:w="187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吊销相应的许可证</w:t>
            </w: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rPr>
                <w:rFonts w:hint="eastAsia" w:ascii="宋体" w:hAnsi="宋体" w:eastAsia="宋体" w:cs="宋体"/>
                <w:color w:val="auto"/>
                <w:kern w:val="0"/>
                <w:szCs w:val="21"/>
                <w:highlight w:val="none"/>
              </w:rPr>
            </w:pPr>
          </w:p>
          <w:p>
            <w:pPr>
              <w:pStyle w:val="2"/>
              <w:rPr>
                <w:rFonts w:hint="eastAsia"/>
              </w:rPr>
            </w:pPr>
          </w:p>
          <w:p>
            <w:pPr>
              <w:rPr>
                <w:rFonts w:hint="eastAsia"/>
              </w:rPr>
            </w:pPr>
          </w:p>
          <w:p>
            <w:pPr>
              <w:widowControl/>
              <w:spacing w:line="30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26" w:hRule="atLeas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C05706A010-</w:t>
            </w:r>
          </w:p>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C05707A010</w:t>
            </w:r>
          </w:p>
        </w:tc>
        <w:tc>
          <w:tcPr>
            <w:tcW w:w="1671"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1、运输易制毒化学品货证不符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 xml:space="preserve">                       2、运输易制毒化学品未全程携带运输许可证、备案证明。</w:t>
            </w:r>
          </w:p>
        </w:tc>
        <w:tc>
          <w:tcPr>
            <w:tcW w:w="2564"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第四十一条第一款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运输的易制毒化学品数量较小</w:t>
            </w:r>
          </w:p>
        </w:tc>
        <w:tc>
          <w:tcPr>
            <w:tcW w:w="187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责令停运整改，处5000元以上1万元以下罚款。</w:t>
            </w:r>
          </w:p>
          <w:p>
            <w:pPr>
              <w:widowControl/>
              <w:spacing w:line="30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63" w:hRule="atLeas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C05706A020-</w:t>
            </w:r>
          </w:p>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C05707A020</w:t>
            </w:r>
          </w:p>
        </w:tc>
        <w:tc>
          <w:tcPr>
            <w:tcW w:w="1671"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256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运输的易制毒化学品数量较大</w:t>
            </w:r>
          </w:p>
        </w:tc>
        <w:tc>
          <w:tcPr>
            <w:tcW w:w="187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责令停运整改，处1万元以上3万元以下罚款。</w:t>
            </w:r>
          </w:p>
          <w:p>
            <w:pPr>
              <w:widowControl/>
              <w:spacing w:line="30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63" w:hRule="exac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C05706A030-</w:t>
            </w:r>
          </w:p>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C05707A030</w:t>
            </w:r>
          </w:p>
        </w:tc>
        <w:tc>
          <w:tcPr>
            <w:tcW w:w="1671"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256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运输大量易制毒化学品</w:t>
            </w: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tc>
        <w:tc>
          <w:tcPr>
            <w:tcW w:w="187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责令停运整改，处3万元以上5万元以下罚款。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26" w:hRule="exac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C05708B010</w:t>
            </w:r>
          </w:p>
        </w:tc>
        <w:tc>
          <w:tcPr>
            <w:tcW w:w="1671"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个人违规携带易制毒化学品</w:t>
            </w:r>
          </w:p>
        </w:tc>
        <w:tc>
          <w:tcPr>
            <w:tcW w:w="2564"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第四十一条第二款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个人携带易制毒化学品不符合品种、数量规定的，没收易制毒化学品，处1000元以上5000元以下的罚款。</w:t>
            </w: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个人携带较小数量的易制毒化学品</w:t>
            </w:r>
          </w:p>
        </w:tc>
        <w:tc>
          <w:tcPr>
            <w:tcW w:w="187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没收易制毒化学品，处1000元以上2000元以下罚款。</w:t>
            </w: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rPr>
                <w:rFonts w:hint="eastAsia"/>
              </w:rPr>
            </w:pPr>
          </w:p>
          <w:p>
            <w:pPr>
              <w:rPr>
                <w:rFonts w:hint="eastAsia"/>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45" w:hRule="exac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C05708B020</w:t>
            </w:r>
          </w:p>
        </w:tc>
        <w:tc>
          <w:tcPr>
            <w:tcW w:w="1671"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256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个人携带较大数量易制毒化学品</w:t>
            </w:r>
          </w:p>
        </w:tc>
        <w:tc>
          <w:tcPr>
            <w:tcW w:w="187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没收易制毒化学品，处2000元以上3000元以下罚款。</w:t>
            </w: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70" w:hRule="exac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C05708B030</w:t>
            </w:r>
          </w:p>
        </w:tc>
        <w:tc>
          <w:tcPr>
            <w:tcW w:w="1671"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256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个人携带大量易制毒化学品</w:t>
            </w:r>
          </w:p>
        </w:tc>
        <w:tc>
          <w:tcPr>
            <w:tcW w:w="187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没收易制毒化学品，处3000元以上5000元以下罚款。</w:t>
            </w:r>
          </w:p>
          <w:p>
            <w:pPr>
              <w:widowControl/>
              <w:spacing w:line="300" w:lineRule="exact"/>
              <w:jc w:val="left"/>
              <w:textAlignment w:val="top"/>
              <w:rPr>
                <w:rFonts w:hint="eastAsia" w:ascii="宋体" w:hAnsi="宋体" w:eastAsia="宋体" w:cs="宋体"/>
                <w:color w:val="auto"/>
                <w:kern w:val="0"/>
                <w:szCs w:val="21"/>
                <w:highlight w:val="none"/>
              </w:rPr>
            </w:pPr>
          </w:p>
          <w:p>
            <w:pPr>
              <w:pStyle w:val="2"/>
              <w:rPr>
                <w:rFonts w:hint="eastAsia" w:ascii="宋体" w:hAnsi="宋体" w:eastAsia="宋体" w:cs="宋体"/>
                <w:color w:val="auto"/>
                <w:kern w:val="0"/>
                <w:szCs w:val="21"/>
                <w:highlight w:val="none"/>
              </w:rPr>
            </w:pPr>
          </w:p>
          <w:p>
            <w:pPr>
              <w:rPr>
                <w:rFonts w:hint="eastAsia"/>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98" w:hRule="atLeas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C05709B010</w:t>
            </w:r>
          </w:p>
        </w:tc>
        <w:tc>
          <w:tcPr>
            <w:tcW w:w="1671"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拒不接受易制毒化学品监督检查</w:t>
            </w:r>
          </w:p>
        </w:tc>
        <w:tc>
          <w:tcPr>
            <w:tcW w:w="2564"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第四十二条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万元以上</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万元以下的罚款，对直接负责的主管人员以及其他直接责任人员处</w:t>
            </w:r>
            <w:r>
              <w:rPr>
                <w:rFonts w:hint="eastAsia" w:ascii="宋体" w:hAnsi="宋体" w:eastAsia="宋体" w:cs="宋体"/>
                <w:color w:val="auto"/>
                <w:kern w:val="0"/>
                <w:szCs w:val="21"/>
                <w:highlight w:val="none"/>
                <w:lang w:val="en-US" w:eastAsia="zh-CN"/>
              </w:rPr>
              <w:t>1000</w:t>
            </w:r>
            <w:r>
              <w:rPr>
                <w:rFonts w:hint="eastAsia" w:ascii="宋体" w:hAnsi="宋体" w:eastAsia="宋体" w:cs="宋体"/>
                <w:color w:val="auto"/>
                <w:kern w:val="0"/>
                <w:szCs w:val="21"/>
                <w:highlight w:val="none"/>
              </w:rPr>
              <w:t>元以上</w:t>
            </w:r>
            <w:r>
              <w:rPr>
                <w:rFonts w:hint="eastAsia" w:ascii="宋体" w:hAnsi="宋体" w:eastAsia="宋体" w:cs="宋体"/>
                <w:color w:val="auto"/>
                <w:kern w:val="0"/>
                <w:szCs w:val="21"/>
                <w:highlight w:val="none"/>
                <w:lang w:val="en-US" w:eastAsia="zh-CN"/>
              </w:rPr>
              <w:t>5000</w:t>
            </w:r>
            <w:r>
              <w:rPr>
                <w:rFonts w:hint="eastAsia" w:ascii="宋体" w:hAnsi="宋体" w:eastAsia="宋体" w:cs="宋体"/>
                <w:color w:val="auto"/>
                <w:kern w:val="0"/>
                <w:szCs w:val="21"/>
                <w:highlight w:val="none"/>
              </w:rPr>
              <w:t>元以下的罚款；有违反治安管理行为的，依</w:t>
            </w:r>
            <w:r>
              <w:rPr>
                <w:rFonts w:hint="eastAsia" w:ascii="宋体" w:hAnsi="宋体" w:cs="宋体"/>
                <w:color w:val="auto"/>
                <w:kern w:val="0"/>
                <w:szCs w:val="21"/>
                <w:highlight w:val="none"/>
                <w:lang w:val="en-US" w:eastAsia="zh-CN"/>
              </w:rPr>
              <w:t>法</w:t>
            </w:r>
            <w:r>
              <w:rPr>
                <w:rFonts w:hint="eastAsia" w:ascii="宋体" w:hAnsi="宋体" w:eastAsia="宋体" w:cs="宋体"/>
                <w:color w:val="auto"/>
                <w:kern w:val="0"/>
                <w:szCs w:val="21"/>
                <w:highlight w:val="none"/>
              </w:rPr>
              <w:t>给予治安管理处罚；构成犯罪的，依法追究刑事责任。</w:t>
            </w: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拒不接受公安机关监督检查</w:t>
            </w:r>
          </w:p>
        </w:tc>
        <w:tc>
          <w:tcPr>
            <w:tcW w:w="187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责令改正，对直接负责的主管人员以及其他直接责任人员</w:t>
            </w:r>
            <w:r>
              <w:rPr>
                <w:rFonts w:hint="eastAsia" w:ascii="宋体" w:hAnsi="宋体" w:cs="宋体"/>
                <w:color w:val="auto"/>
                <w:kern w:val="0"/>
                <w:szCs w:val="21"/>
                <w:highlight w:val="none"/>
                <w:lang w:val="en-US" w:eastAsia="zh-CN"/>
              </w:rPr>
              <w:t>给予</w:t>
            </w:r>
            <w:r>
              <w:rPr>
                <w:rFonts w:hint="eastAsia" w:ascii="宋体" w:hAnsi="宋体" w:eastAsia="宋体" w:cs="宋体"/>
                <w:color w:val="auto"/>
                <w:kern w:val="0"/>
                <w:szCs w:val="21"/>
                <w:highlight w:val="none"/>
              </w:rPr>
              <w:t>警告；有违反治安管理行为的，依</w:t>
            </w:r>
            <w:r>
              <w:rPr>
                <w:rFonts w:hint="eastAsia" w:ascii="宋体" w:hAnsi="宋体" w:cs="宋体"/>
                <w:color w:val="auto"/>
                <w:kern w:val="0"/>
                <w:szCs w:val="21"/>
                <w:highlight w:val="none"/>
                <w:lang w:val="en-US" w:eastAsia="zh-CN"/>
              </w:rPr>
              <w:t>法</w:t>
            </w:r>
            <w:r>
              <w:rPr>
                <w:rFonts w:hint="eastAsia" w:ascii="宋体" w:hAnsi="宋体" w:eastAsia="宋体" w:cs="宋体"/>
                <w:color w:val="auto"/>
                <w:kern w:val="0"/>
                <w:szCs w:val="21"/>
                <w:highlight w:val="none"/>
              </w:rPr>
              <w:t>给予治安管理处罚</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构成犯罪的，依法追究刑事责任。</w:t>
            </w: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C05709B020</w:t>
            </w:r>
          </w:p>
        </w:tc>
        <w:tc>
          <w:tcPr>
            <w:tcW w:w="1671"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256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经警告后仍拒不接受监督检查，未造成严重后果。</w:t>
            </w:r>
          </w:p>
        </w:tc>
        <w:tc>
          <w:tcPr>
            <w:tcW w:w="187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对单位处1万元以上3万元以下罚款，对直接负责的主管人员以及其他直接责任人员处1000元以上3000元以下罚款；有违反治安管理行为的，依</w:t>
            </w:r>
            <w:r>
              <w:rPr>
                <w:rFonts w:hint="eastAsia" w:ascii="宋体" w:hAnsi="宋体" w:cs="宋体"/>
                <w:color w:val="auto"/>
                <w:kern w:val="0"/>
                <w:szCs w:val="21"/>
                <w:highlight w:val="none"/>
                <w:lang w:val="en-US" w:eastAsia="zh-CN"/>
              </w:rPr>
              <w:t>法</w:t>
            </w:r>
            <w:r>
              <w:rPr>
                <w:rFonts w:hint="eastAsia" w:ascii="宋体" w:hAnsi="宋体" w:eastAsia="宋体" w:cs="宋体"/>
                <w:color w:val="auto"/>
                <w:kern w:val="0"/>
                <w:szCs w:val="21"/>
                <w:highlight w:val="none"/>
              </w:rPr>
              <w:t>给予治安管理处罚</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构成犯罪的，依法追究刑事责任</w:t>
            </w:r>
            <w:r>
              <w:rPr>
                <w:rFonts w:hint="eastAsia" w:ascii="宋体" w:hAnsi="宋体" w:eastAsia="宋体" w:cs="宋体"/>
                <w:color w:val="auto"/>
                <w:kern w:val="0"/>
                <w:szCs w:val="21"/>
                <w:highlight w:val="none"/>
                <w:lang w:val="en-US" w:eastAsia="zh-CN"/>
              </w:rPr>
              <w:t>。</w:t>
            </w:r>
          </w:p>
          <w:p>
            <w:pPr>
              <w:pStyle w:val="2"/>
              <w:rPr>
                <w:rFonts w:hint="eastAsia" w:ascii="宋体" w:hAnsi="宋体" w:eastAsia="宋体" w:cs="宋体"/>
                <w:color w:val="auto"/>
                <w:kern w:val="0"/>
                <w:szCs w:val="21"/>
                <w:highlight w:val="none"/>
                <w:lang w:val="en-US" w:eastAsia="zh-CN"/>
              </w:rPr>
            </w:pPr>
          </w:p>
          <w:p>
            <w:pPr>
              <w:rPr>
                <w:rFonts w:hint="eastAsia" w:ascii="宋体" w:hAnsi="宋体" w:eastAsia="宋体" w:cs="宋体"/>
                <w:color w:val="auto"/>
                <w:kern w:val="0"/>
                <w:szCs w:val="21"/>
                <w:highlight w:val="none"/>
                <w:lang w:val="en-US" w:eastAsia="zh-CN"/>
              </w:rPr>
            </w:pPr>
          </w:p>
          <w:p>
            <w:pPr>
              <w:widowControl/>
              <w:spacing w:line="300" w:lineRule="exact"/>
              <w:jc w:val="left"/>
              <w:textAlignment w:val="top"/>
              <w:rPr>
                <w:rFonts w:hint="eastAsia" w:ascii="宋体" w:hAnsi="宋体" w:eastAsia="宋体" w:cs="宋体"/>
                <w:color w:val="auto"/>
                <w:kern w:val="0"/>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06" w:hRule="atLeast"/>
        </w:trPr>
        <w:tc>
          <w:tcPr>
            <w:tcW w:w="1320"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highlight w:val="none"/>
              </w:rPr>
            </w:pPr>
            <w:r>
              <w:rPr>
                <w:rFonts w:hint="eastAsia" w:ascii="宋体" w:hAnsi="宋体" w:eastAsia="宋体" w:cs="宋体"/>
                <w:color w:val="auto"/>
                <w:kern w:val="0"/>
                <w:szCs w:val="21"/>
                <w:highlight w:val="none"/>
              </w:rPr>
              <w:t>C05709B030</w:t>
            </w:r>
          </w:p>
        </w:tc>
        <w:tc>
          <w:tcPr>
            <w:tcW w:w="1671"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highlight w:val="none"/>
              </w:rPr>
            </w:pPr>
          </w:p>
        </w:tc>
        <w:tc>
          <w:tcPr>
            <w:tcW w:w="256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highlight w:val="none"/>
              </w:rPr>
            </w:pPr>
          </w:p>
        </w:tc>
        <w:tc>
          <w:tcPr>
            <w:tcW w:w="143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经警告后仍拒不接受监督检查，造成严重后果</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但不够追究刑事责任的</w:t>
            </w:r>
            <w:r>
              <w:rPr>
                <w:rFonts w:hint="eastAsia" w:ascii="宋体" w:hAnsi="宋体" w:eastAsia="宋体" w:cs="宋体"/>
                <w:color w:val="auto"/>
                <w:kern w:val="0"/>
                <w:szCs w:val="21"/>
                <w:highlight w:val="none"/>
              </w:rPr>
              <w:t>。</w:t>
            </w:r>
          </w:p>
        </w:tc>
        <w:tc>
          <w:tcPr>
            <w:tcW w:w="1877" w:type="dxa"/>
            <w:tcBorders>
              <w:tl2br w:val="nil"/>
              <w:tr2bl w:val="nil"/>
            </w:tcBorders>
            <w:noWrap w:val="0"/>
            <w:vAlign w:val="top"/>
          </w:tcPr>
          <w:p>
            <w:pPr>
              <w:widowControl/>
              <w:spacing w:line="300" w:lineRule="exact"/>
              <w:jc w:val="left"/>
              <w:textAlignment w:val="top"/>
              <w:rPr>
                <w:rFonts w:hint="eastAsia"/>
              </w:rPr>
            </w:pPr>
            <w:r>
              <w:rPr>
                <w:rFonts w:hint="eastAsia"/>
              </w:rPr>
              <w:t>对单位处3万元以上5万元以下罚款，对直接责任的主管人员以及其他</w:t>
            </w:r>
            <w:r>
              <w:rPr>
                <w:rFonts w:hint="eastAsia"/>
                <w:lang w:val="en-US" w:eastAsia="zh-CN"/>
              </w:rPr>
              <w:t>直接</w:t>
            </w:r>
            <w:r>
              <w:rPr>
                <w:rFonts w:hint="eastAsia"/>
              </w:rPr>
              <w:t>责任人员处3000元以上5000元以下罚款</w:t>
            </w:r>
            <w:r>
              <w:rPr>
                <w:rFonts w:hint="eastAsia" w:ascii="宋体" w:hAnsi="宋体" w:eastAsia="宋体" w:cs="宋体"/>
                <w:color w:val="auto"/>
                <w:kern w:val="0"/>
                <w:szCs w:val="21"/>
                <w:highlight w:val="none"/>
              </w:rPr>
              <w:t>；有违反治安管理行为的，依</w:t>
            </w:r>
            <w:r>
              <w:rPr>
                <w:rFonts w:hint="eastAsia" w:ascii="宋体" w:hAnsi="宋体" w:cs="宋体"/>
                <w:color w:val="auto"/>
                <w:kern w:val="0"/>
                <w:szCs w:val="21"/>
                <w:highlight w:val="none"/>
                <w:lang w:val="en-US" w:eastAsia="zh-CN"/>
              </w:rPr>
              <w:t>法</w:t>
            </w:r>
            <w:r>
              <w:rPr>
                <w:rFonts w:hint="eastAsia" w:ascii="宋体" w:hAnsi="宋体" w:eastAsia="宋体" w:cs="宋体"/>
                <w:color w:val="auto"/>
                <w:kern w:val="0"/>
                <w:szCs w:val="21"/>
                <w:highlight w:val="none"/>
              </w:rPr>
              <w:t>给予治安管理处罚</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构成犯罪的，依法追究刑事责任</w:t>
            </w:r>
            <w:r>
              <w:rPr>
                <w:rFonts w:hint="eastAsia"/>
              </w:rPr>
              <w:t>。</w:t>
            </w:r>
          </w:p>
          <w:p>
            <w:pPr>
              <w:rPr>
                <w:rFonts w:hint="eastAsia"/>
              </w:rPr>
            </w:pPr>
          </w:p>
          <w:p>
            <w:pPr>
              <w:pStyle w:val="2"/>
              <w:rPr>
                <w:rFonts w:hint="eastAsia"/>
              </w:rPr>
            </w:pPr>
          </w:p>
          <w:p>
            <w:pPr>
              <w:rPr>
                <w:rFonts w:hint="eastAsia"/>
              </w:rPr>
            </w:pPr>
          </w:p>
        </w:tc>
      </w:tr>
    </w:tbl>
    <w:p>
      <w:pPr>
        <w:spacing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违反《易制毒化学品购销和运输管理办法》</w:t>
      </w:r>
      <w:r>
        <w:rPr>
          <w:rFonts w:hint="eastAsia" w:ascii="方正小标宋简体" w:hAnsi="方正小标宋简体" w:eastAsia="方正小标宋简体" w:cs="方正小标宋简体"/>
          <w:color w:val="auto"/>
          <w:sz w:val="36"/>
          <w:szCs w:val="36"/>
          <w:highlight w:val="none"/>
        </w:rPr>
        <w:br w:type="textWrapping"/>
      </w:r>
      <w:r>
        <w:rPr>
          <w:rFonts w:hint="eastAsia" w:ascii="方正小标宋简体" w:hAnsi="方正小标宋简体" w:eastAsia="方正小标宋简体" w:cs="方正小标宋简体"/>
          <w:color w:val="auto"/>
          <w:sz w:val="36"/>
          <w:szCs w:val="36"/>
          <w:highlight w:val="none"/>
        </w:rPr>
        <w:t>处罚裁量基准</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494"/>
        <w:gridCol w:w="2583"/>
        <w:gridCol w:w="1450"/>
        <w:gridCol w:w="1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 w:hRule="atLeast"/>
          <w:tblHeader/>
        </w:trPr>
        <w:tc>
          <w:tcPr>
            <w:tcW w:w="1304" w:type="dxa"/>
            <w:tcBorders>
              <w:tl2br w:val="nil"/>
              <w:tr2bl w:val="nil"/>
            </w:tcBorders>
            <w:noWrap w:val="0"/>
            <w:vAlign w:val="center"/>
          </w:tcPr>
          <w:p>
            <w:pPr>
              <w:widowControl/>
              <w:spacing w:line="30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编  码</w:t>
            </w:r>
          </w:p>
        </w:tc>
        <w:tc>
          <w:tcPr>
            <w:tcW w:w="1494" w:type="dxa"/>
            <w:tcBorders>
              <w:tl2br w:val="nil"/>
              <w:tr2bl w:val="nil"/>
            </w:tcBorders>
            <w:noWrap w:val="0"/>
            <w:vAlign w:val="center"/>
          </w:tcPr>
          <w:p>
            <w:pPr>
              <w:widowControl/>
              <w:spacing w:line="30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违法行为</w:t>
            </w:r>
          </w:p>
        </w:tc>
        <w:tc>
          <w:tcPr>
            <w:tcW w:w="2583" w:type="dxa"/>
            <w:tcBorders>
              <w:tl2br w:val="nil"/>
              <w:tr2bl w:val="nil"/>
            </w:tcBorders>
            <w:noWrap w:val="0"/>
            <w:vAlign w:val="center"/>
          </w:tcPr>
          <w:p>
            <w:pPr>
              <w:widowControl/>
              <w:spacing w:line="30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法律依据</w:t>
            </w:r>
          </w:p>
        </w:tc>
        <w:tc>
          <w:tcPr>
            <w:tcW w:w="1450" w:type="dxa"/>
            <w:tcBorders>
              <w:tl2br w:val="nil"/>
              <w:tr2bl w:val="nil"/>
            </w:tcBorders>
            <w:noWrap w:val="0"/>
            <w:vAlign w:val="center"/>
          </w:tcPr>
          <w:p>
            <w:pPr>
              <w:widowControl/>
              <w:spacing w:line="30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违法情节</w:t>
            </w:r>
          </w:p>
        </w:tc>
        <w:tc>
          <w:tcPr>
            <w:tcW w:w="1887" w:type="dxa"/>
            <w:tcBorders>
              <w:tl2br w:val="nil"/>
              <w:tr2bl w:val="nil"/>
            </w:tcBorders>
            <w:noWrap w:val="0"/>
            <w:vAlign w:val="center"/>
          </w:tcPr>
          <w:p>
            <w:pPr>
              <w:widowControl/>
              <w:spacing w:line="30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65" w:hRule="atLeast"/>
        </w:trPr>
        <w:tc>
          <w:tcPr>
            <w:tcW w:w="1304"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C05710B010-</w:t>
            </w:r>
          </w:p>
          <w:p>
            <w:pPr>
              <w:widowControl/>
              <w:spacing w:line="300" w:lineRule="exact"/>
              <w:jc w:val="center"/>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C05711B010</w:t>
            </w:r>
          </w:p>
        </w:tc>
        <w:tc>
          <w:tcPr>
            <w:tcW w:w="1494"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1、向无购买许可证、备案证明的单位、个人销售易制毒化学品的；</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2、超出购买许可、备案范围销售易制毒化学品。</w:t>
            </w:r>
          </w:p>
        </w:tc>
        <w:tc>
          <w:tcPr>
            <w:tcW w:w="2583"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 xml:space="preserve">第三十一条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违反规定销售易制毒化学品，有下列情形之一的，公安机关应当对销售单位处1万元以下罚款；有违法所得的，处3万元以下罚款，并对违法所得依法予以追缴；构成犯罪的，依法追究刑事责任：                                （一）向无购买许可证或者备案证明的单位或者个人销售易制毒化学品的；                                    （二）超出购买许可证或者备案证明的品种、数量销售易制毒化学品的。</w:t>
            </w:r>
          </w:p>
        </w:tc>
        <w:tc>
          <w:tcPr>
            <w:tcW w:w="1450"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销售少量易制毒化学品</w:t>
            </w:r>
          </w:p>
        </w:tc>
        <w:tc>
          <w:tcPr>
            <w:tcW w:w="188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无违法所得的，对销售单位处5000元以下罚款；有违法所得的，对销售单位处1万元以下罚款，</w:t>
            </w:r>
            <w:r>
              <w:rPr>
                <w:rFonts w:hint="eastAsia" w:ascii="宋体" w:hAnsi="宋体" w:cs="宋体"/>
                <w:color w:val="auto"/>
                <w:kern w:val="0"/>
                <w:szCs w:val="21"/>
                <w:highlight w:val="none"/>
                <w:lang w:val="en-US" w:eastAsia="zh-CN"/>
              </w:rPr>
              <w:t>并对违法所得予以追缴</w:t>
            </w:r>
            <w:r>
              <w:rPr>
                <w:rFonts w:hint="eastAsia" w:ascii="宋体" w:hAnsi="宋体" w:eastAsia="宋体" w:cs="宋体"/>
                <w:color w:val="auto"/>
                <w:kern w:val="0"/>
                <w:szCs w:val="21"/>
                <w:highlight w:val="none"/>
              </w:rPr>
              <w:t>；构成犯罪的，依法追究刑事责任。</w:t>
            </w: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16" w:hRule="atLeast"/>
        </w:trPr>
        <w:tc>
          <w:tcPr>
            <w:tcW w:w="1304"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C05710B020-</w:t>
            </w:r>
          </w:p>
          <w:p>
            <w:pPr>
              <w:widowControl/>
              <w:spacing w:line="300" w:lineRule="exact"/>
              <w:jc w:val="center"/>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C05711B020</w:t>
            </w:r>
          </w:p>
        </w:tc>
        <w:tc>
          <w:tcPr>
            <w:tcW w:w="149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2583"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450"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销售较大数量易制毒化学品</w:t>
            </w:r>
          </w:p>
        </w:tc>
        <w:tc>
          <w:tcPr>
            <w:tcW w:w="188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无违法所得的，对销售单位处5000元以上8000元以下罚款；有违法所得的，处1万元以上2万元以下罚款，</w:t>
            </w:r>
            <w:r>
              <w:rPr>
                <w:rFonts w:hint="eastAsia" w:ascii="宋体" w:hAnsi="宋体" w:cs="宋体"/>
                <w:color w:val="auto"/>
                <w:kern w:val="0"/>
                <w:szCs w:val="21"/>
                <w:highlight w:val="none"/>
                <w:lang w:val="en-US" w:eastAsia="zh-CN"/>
              </w:rPr>
              <w:t>并对违法所得予以追缴</w:t>
            </w:r>
            <w:r>
              <w:rPr>
                <w:rFonts w:hint="eastAsia" w:ascii="宋体" w:hAnsi="宋体" w:eastAsia="宋体" w:cs="宋体"/>
                <w:color w:val="auto"/>
                <w:kern w:val="0"/>
                <w:szCs w:val="21"/>
                <w:highlight w:val="none"/>
              </w:rPr>
              <w:t>；构成犯罪的，依法追究刑事责任。</w:t>
            </w: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23" w:hRule="atLeast"/>
        </w:trPr>
        <w:tc>
          <w:tcPr>
            <w:tcW w:w="1304"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C05710B030-</w:t>
            </w:r>
          </w:p>
          <w:p>
            <w:pPr>
              <w:widowControl/>
              <w:spacing w:line="300" w:lineRule="exact"/>
              <w:jc w:val="center"/>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C05711B030</w:t>
            </w:r>
          </w:p>
        </w:tc>
        <w:tc>
          <w:tcPr>
            <w:tcW w:w="149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2583"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450"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销售大量易制毒化学品</w:t>
            </w:r>
          </w:p>
        </w:tc>
        <w:tc>
          <w:tcPr>
            <w:tcW w:w="188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无违法所得的，对销售单位处8000元以上1万元以下罚款；有违法所得的，处2万元以上3万元以下罚款，</w:t>
            </w:r>
            <w:r>
              <w:rPr>
                <w:rFonts w:hint="eastAsia" w:ascii="宋体" w:hAnsi="宋体" w:cs="宋体"/>
                <w:color w:val="auto"/>
                <w:kern w:val="0"/>
                <w:szCs w:val="21"/>
                <w:highlight w:val="none"/>
                <w:lang w:val="en-US" w:eastAsia="zh-CN"/>
              </w:rPr>
              <w:t>并对违法所得予以追缴</w:t>
            </w:r>
            <w:r>
              <w:rPr>
                <w:rFonts w:hint="eastAsia" w:ascii="宋体" w:hAnsi="宋体" w:eastAsia="宋体" w:cs="宋体"/>
                <w:color w:val="auto"/>
                <w:kern w:val="0"/>
                <w:szCs w:val="21"/>
                <w:highlight w:val="none"/>
              </w:rPr>
              <w:t>；构成犯罪的，依法追究刑事责任。</w:t>
            </w:r>
          </w:p>
          <w:p>
            <w:pPr>
              <w:widowControl/>
              <w:spacing w:line="300" w:lineRule="exact"/>
              <w:jc w:val="left"/>
              <w:textAlignment w:val="top"/>
              <w:rPr>
                <w:rFonts w:hint="eastAsia" w:ascii="宋体" w:hAnsi="宋体" w:eastAsia="宋体" w:cs="宋体"/>
                <w:color w:val="auto"/>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52" w:hRule="atLeast"/>
        </w:trPr>
        <w:tc>
          <w:tcPr>
            <w:tcW w:w="1304" w:type="dxa"/>
            <w:tcBorders>
              <w:tl2br w:val="nil"/>
              <w:tr2bl w:val="nil"/>
            </w:tcBorders>
            <w:noWrap w:val="0"/>
            <w:vAlign w:val="top"/>
          </w:tcPr>
          <w:p>
            <w:pPr>
              <w:widowControl/>
              <w:spacing w:line="30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C05695A000</w:t>
            </w:r>
          </w:p>
        </w:tc>
        <w:tc>
          <w:tcPr>
            <w:tcW w:w="1494"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伪造申请材料骗取易制毒化学品购买、运输许可证或者备案证明。</w:t>
            </w:r>
          </w:p>
        </w:tc>
        <w:tc>
          <w:tcPr>
            <w:tcW w:w="2583"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第三十四条第一款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伪造申请材料骗取易制毒化学品购买、运输许可证或者备案证明的，公安机关应当处1万元罚款，并撤销许可证或者备案证明。</w:t>
            </w:r>
          </w:p>
          <w:p>
            <w:pPr>
              <w:widowControl/>
              <w:spacing w:line="300" w:lineRule="exact"/>
              <w:jc w:val="left"/>
              <w:textAlignment w:val="top"/>
              <w:rPr>
                <w:rFonts w:hint="eastAsia" w:ascii="宋体" w:hAnsi="宋体" w:eastAsia="宋体" w:cs="宋体"/>
                <w:color w:val="auto"/>
                <w:kern w:val="0"/>
                <w:szCs w:val="21"/>
                <w:highlight w:val="none"/>
              </w:rPr>
            </w:pPr>
          </w:p>
          <w:p>
            <w:pPr>
              <w:widowControl/>
              <w:spacing w:line="300" w:lineRule="exact"/>
              <w:jc w:val="left"/>
              <w:textAlignment w:val="top"/>
              <w:rPr>
                <w:rFonts w:hint="eastAsia" w:ascii="宋体" w:hAnsi="宋体" w:eastAsia="宋体" w:cs="宋体"/>
                <w:color w:val="auto"/>
                <w:kern w:val="0"/>
                <w:szCs w:val="21"/>
                <w:highlight w:val="none"/>
              </w:rPr>
            </w:pPr>
          </w:p>
        </w:tc>
        <w:tc>
          <w:tcPr>
            <w:tcW w:w="1450"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罚款数额明确，不需分阶。 </w:t>
            </w:r>
          </w:p>
        </w:tc>
        <w:tc>
          <w:tcPr>
            <w:tcW w:w="188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处1万元罚款，并撤销许可证或者备案证明。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184" w:hRule="atLeast"/>
        </w:trPr>
        <w:tc>
          <w:tcPr>
            <w:tcW w:w="1304" w:type="dxa"/>
            <w:tcBorders>
              <w:tl2br w:val="nil"/>
              <w:tr2bl w:val="nil"/>
            </w:tcBorders>
            <w:noWrap w:val="0"/>
            <w:vAlign w:val="top"/>
          </w:tcPr>
          <w:p>
            <w:pPr>
              <w:widowControl/>
              <w:spacing w:line="300" w:lineRule="exact"/>
              <w:jc w:val="center"/>
              <w:textAlignment w:val="top"/>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C05693A0</w:t>
            </w:r>
            <w:r>
              <w:rPr>
                <w:rFonts w:hint="eastAsia" w:ascii="宋体" w:hAnsi="宋体" w:cs="宋体"/>
                <w:color w:val="auto"/>
                <w:kern w:val="0"/>
                <w:szCs w:val="21"/>
                <w:highlight w:val="none"/>
                <w:lang w:val="en-US" w:eastAsia="zh-CN"/>
              </w:rPr>
              <w:t>00</w:t>
            </w:r>
          </w:p>
          <w:p>
            <w:pPr>
              <w:widowControl/>
              <w:spacing w:line="300" w:lineRule="exact"/>
              <w:jc w:val="center"/>
              <w:textAlignment w:val="top"/>
              <w:rPr>
                <w:rFonts w:hint="default" w:ascii="宋体" w:hAnsi="宋体" w:eastAsia="宋体" w:cs="宋体"/>
                <w:color w:val="auto"/>
                <w:kern w:val="0"/>
                <w:szCs w:val="21"/>
                <w:highlight w:val="none"/>
                <w:lang w:val="en-US"/>
              </w:rPr>
            </w:pPr>
            <w:r>
              <w:rPr>
                <w:rFonts w:hint="eastAsia" w:ascii="宋体" w:hAnsi="宋体" w:cs="宋体"/>
                <w:color w:val="auto"/>
                <w:kern w:val="0"/>
                <w:szCs w:val="21"/>
                <w:highlight w:val="none"/>
                <w:lang w:val="en-US" w:eastAsia="zh-CN"/>
              </w:rPr>
              <w:t>C*****A000</w:t>
            </w:r>
          </w:p>
          <w:p>
            <w:pPr>
              <w:widowControl/>
              <w:spacing w:line="300" w:lineRule="exact"/>
              <w:jc w:val="center"/>
              <w:textAlignment w:val="top"/>
              <w:rPr>
                <w:rFonts w:hint="eastAsia" w:ascii="宋体" w:hAnsi="宋体" w:eastAsia="宋体" w:cs="宋体"/>
                <w:color w:val="auto"/>
                <w:kern w:val="0"/>
                <w:szCs w:val="21"/>
                <w:highlight w:val="none"/>
              </w:rPr>
            </w:pPr>
          </w:p>
        </w:tc>
        <w:tc>
          <w:tcPr>
            <w:tcW w:w="1494" w:type="dxa"/>
            <w:vMerge w:val="restart"/>
            <w:tcBorders>
              <w:tl2br w:val="nil"/>
              <w:tr2bl w:val="nil"/>
            </w:tcBorders>
            <w:noWrap w:val="0"/>
            <w:vAlign w:val="top"/>
          </w:tcPr>
          <w:p>
            <w:pPr>
              <w:widowControl/>
              <w:spacing w:line="300" w:lineRule="exact"/>
              <w:jc w:val="left"/>
              <w:textAlignment w:val="top"/>
              <w:rPr>
                <w:rFonts w:hint="eastAsia"/>
              </w:rPr>
            </w:pPr>
            <w:r>
              <w:rPr>
                <w:rFonts w:hint="eastAsia"/>
              </w:rPr>
              <w:t>1、使用以伪造的申请材料骗取的购买许可证或者备案证明购买易制毒化学品；                                  2、使用以伪造的申请材料骗取的运输许可证或者备案证明运输易制毒化学品。</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default" w:eastAsia="宋体"/>
                <w:lang w:val="en-US" w:eastAsia="zh-CN"/>
              </w:rPr>
            </w:pPr>
          </w:p>
        </w:tc>
        <w:tc>
          <w:tcPr>
            <w:tcW w:w="2583" w:type="dxa"/>
            <w:vMerge w:val="restart"/>
            <w:tcBorders>
              <w:tl2br w:val="nil"/>
              <w:tr2bl w:val="nil"/>
            </w:tcBorders>
            <w:noWrap w:val="0"/>
            <w:vAlign w:val="top"/>
          </w:tcPr>
          <w:p>
            <w:pPr>
              <w:widowControl/>
              <w:spacing w:line="300" w:lineRule="exact"/>
              <w:jc w:val="left"/>
              <w:textAlignment w:val="top"/>
              <w:rPr>
                <w:rFonts w:hint="eastAsia"/>
              </w:rPr>
            </w:pPr>
            <w:r>
              <w:rPr>
                <w:rFonts w:hint="eastAsia"/>
              </w:rPr>
              <w:t>第三十四条第二款  使用以伪造的申请材料骗取的易制毒化学品购买、运输许可证或者备案证明购买、运输易制毒化学品的，分别按照第三十条第</w:t>
            </w:r>
            <w:r>
              <w:rPr>
                <w:rFonts w:hint="eastAsia"/>
                <w:lang w:eastAsia="zh-CN"/>
              </w:rPr>
              <w:t>一</w:t>
            </w:r>
            <w:r>
              <w:rPr>
                <w:rFonts w:hint="eastAsia"/>
              </w:rPr>
              <w:t>项和第三十二条第</w:t>
            </w:r>
            <w:r>
              <w:rPr>
                <w:rFonts w:hint="eastAsia"/>
                <w:lang w:eastAsia="zh-CN"/>
              </w:rPr>
              <w:t>一</w:t>
            </w:r>
            <w:r>
              <w:rPr>
                <w:rFonts w:hint="eastAsia"/>
              </w:rPr>
              <w:t xml:space="preserve">项的规定处罚。  </w:t>
            </w:r>
          </w:p>
          <w:p>
            <w:pPr>
              <w:widowControl/>
              <w:spacing w:line="300" w:lineRule="exact"/>
              <w:jc w:val="left"/>
              <w:textAlignment w:val="top"/>
              <w:rPr>
                <w:rFonts w:hint="eastAsia"/>
                <w:lang w:eastAsia="zh-CN"/>
              </w:rPr>
            </w:pPr>
            <w:r>
              <w:rPr>
                <w:rFonts w:hint="eastAsia"/>
              </w:rPr>
              <w:t xml:space="preserve">                    </w:t>
            </w:r>
            <w:r>
              <w:rPr>
                <w:rFonts w:hint="eastAsia"/>
              </w:rPr>
              <w:br w:type="textWrapping"/>
            </w:r>
            <w:r>
              <w:rPr>
                <w:rFonts w:hint="eastAsia"/>
              </w:rPr>
              <w:t>第三十条  违反规定购买易制毒化学品，</w:t>
            </w:r>
            <w:r>
              <w:rPr>
                <w:rFonts w:hint="eastAsia"/>
                <w:lang w:eastAsia="zh-CN"/>
              </w:rPr>
              <w:t>有下列情形之一的，</w:t>
            </w:r>
            <w:r>
              <w:rPr>
                <w:rFonts w:hint="eastAsia"/>
              </w:rPr>
              <w:t>公安机关应当没收非法购买的易制毒化学品，对购买方处非法购买易制毒化学品货值10倍以上20倍以下的罚款，货值的20倍不足1万元的，按1万元罚款</w:t>
            </w:r>
            <w:r>
              <w:rPr>
                <w:rFonts w:hint="eastAsia"/>
                <w:lang w:eastAsia="zh-CN"/>
              </w:rPr>
              <w:t>；构成犯罪的，依法追究刑事责任：</w:t>
            </w:r>
          </w:p>
          <w:p>
            <w:pPr>
              <w:widowControl/>
              <w:spacing w:line="300" w:lineRule="exact"/>
              <w:jc w:val="left"/>
              <w:textAlignment w:val="top"/>
              <w:rPr>
                <w:rFonts w:hint="eastAsia"/>
              </w:rPr>
            </w:pPr>
            <w:r>
              <w:rPr>
                <w:rFonts w:hint="eastAsia"/>
                <w:lang w:eastAsia="zh-CN"/>
              </w:rPr>
              <w:t>（一）未经许可或者备案擅自购买</w:t>
            </w:r>
            <w:r>
              <w:rPr>
                <w:rFonts w:hint="eastAsia"/>
              </w:rPr>
              <w:t>易制毒化学品</w:t>
            </w:r>
            <w:r>
              <w:rPr>
                <w:rFonts w:hint="eastAsia"/>
                <w:lang w:eastAsia="zh-CN"/>
              </w:rPr>
              <w:t>的；</w:t>
            </w:r>
            <w:r>
              <w:rPr>
                <w:rFonts w:hint="eastAsia"/>
              </w:rPr>
              <w:t xml:space="preserve">  </w:t>
            </w:r>
          </w:p>
          <w:p>
            <w:pPr>
              <w:widowControl/>
              <w:spacing w:line="300" w:lineRule="exact"/>
              <w:jc w:val="left"/>
              <w:textAlignment w:val="top"/>
              <w:rPr>
                <w:rFonts w:hint="eastAsia"/>
                <w:lang w:eastAsia="zh-CN"/>
              </w:rPr>
            </w:pPr>
            <w:r>
              <w:rPr>
                <w:rFonts w:hint="eastAsia"/>
              </w:rPr>
              <w:t xml:space="preserve">                                第三十二条  货主违反规定运输易制毒化学品</w:t>
            </w:r>
            <w:r>
              <w:rPr>
                <w:rFonts w:hint="eastAsia"/>
                <w:lang w:eastAsia="zh-CN"/>
              </w:rPr>
              <w:t>，有下列情形之一</w:t>
            </w:r>
            <w:r>
              <w:rPr>
                <w:rFonts w:hint="eastAsia"/>
              </w:rPr>
              <w:t>的，公安</w:t>
            </w:r>
            <w:r>
              <w:rPr>
                <w:rFonts w:hint="eastAsia"/>
                <w:lang w:val="en-US" w:eastAsia="zh-CN"/>
              </w:rPr>
              <w:t>机</w:t>
            </w:r>
            <w:r>
              <w:rPr>
                <w:rFonts w:hint="eastAsia"/>
              </w:rPr>
              <w:t>关应当没收非法运输的易制毒化学品或者非法运输易制毒化学品的设备、工具；处非法运输的易制毒化学品货值10倍以上20倍以下罚款，货值的20倍不足1万元的，按1万元罚款。有违法所得的没收违法所得</w:t>
            </w:r>
            <w:r>
              <w:rPr>
                <w:rFonts w:hint="eastAsia"/>
                <w:lang w:eastAsia="zh-CN"/>
              </w:rPr>
              <w:t>；构成犯罪的，依法追究刑事责任：</w:t>
            </w:r>
          </w:p>
          <w:p>
            <w:pPr>
              <w:widowControl/>
              <w:spacing w:line="300" w:lineRule="exact"/>
              <w:jc w:val="left"/>
              <w:textAlignment w:val="top"/>
              <w:rPr>
                <w:rFonts w:hint="eastAsia"/>
                <w:lang w:eastAsia="zh-CN"/>
              </w:rPr>
            </w:pPr>
            <w:r>
              <w:rPr>
                <w:rFonts w:hint="eastAsia"/>
                <w:lang w:eastAsia="zh-CN"/>
              </w:rPr>
              <w:t>（一）未经许可或者备案擅自运输</w:t>
            </w:r>
            <w:r>
              <w:rPr>
                <w:rFonts w:hint="eastAsia"/>
              </w:rPr>
              <w:t>易制毒化学品</w:t>
            </w:r>
            <w:r>
              <w:rPr>
                <w:rFonts w:hint="eastAsia"/>
                <w:lang w:eastAsia="zh-CN"/>
              </w:rPr>
              <w:t>的；</w:t>
            </w:r>
          </w:p>
          <w:p>
            <w:pPr>
              <w:widowControl/>
              <w:spacing w:line="300" w:lineRule="exact"/>
              <w:jc w:val="left"/>
              <w:textAlignment w:val="top"/>
              <w:rPr>
                <w:rFonts w:hint="eastAsia"/>
              </w:rPr>
            </w:pPr>
          </w:p>
          <w:p>
            <w:pPr>
              <w:widowControl/>
              <w:spacing w:line="300" w:lineRule="exact"/>
              <w:jc w:val="left"/>
              <w:textAlignment w:val="top"/>
              <w:rPr>
                <w:rFonts w:hint="eastAsia"/>
              </w:rPr>
            </w:pPr>
            <w:r>
              <w:rPr>
                <w:rFonts w:hint="eastAsia"/>
                <w:lang w:val="en-US" w:eastAsia="zh-CN"/>
              </w:rPr>
              <w:t>上位法：</w:t>
            </w:r>
            <w:r>
              <w:rPr>
                <w:rFonts w:hint="eastAsia"/>
                <w:lang w:eastAsia="zh-CN"/>
              </w:rPr>
              <w:t>《</w:t>
            </w:r>
            <w:r>
              <w:rPr>
                <w:rFonts w:hint="eastAsia"/>
                <w:lang w:val="en-US" w:eastAsia="zh-CN"/>
              </w:rPr>
              <w:t>易制毒化学品管理条例</w:t>
            </w:r>
            <w:r>
              <w:rPr>
                <w:rFonts w:hint="eastAsia"/>
                <w:lang w:eastAsia="zh-CN"/>
              </w:rPr>
              <w:t>》</w:t>
            </w:r>
            <w:r>
              <w:rPr>
                <w:rFonts w:hint="eastAsia"/>
              </w:rPr>
              <w:t xml:space="preserve">第三十八条第一款 </w:t>
            </w:r>
            <w:r>
              <w:rPr>
                <w:rFonts w:hint="eastAsia"/>
                <w:lang w:val="en-US" w:eastAsia="zh-CN"/>
              </w:rPr>
              <w:t xml:space="preserve"> </w:t>
            </w:r>
            <w:r>
              <w:rPr>
                <w:rFonts w:hint="eastAsia"/>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w:t>
            </w:r>
            <w:r>
              <w:rPr>
                <w:rFonts w:hint="eastAsia"/>
                <w:lang w:val="en-US" w:eastAsia="zh-CN"/>
              </w:rPr>
              <w:t>1</w:t>
            </w:r>
            <w:r>
              <w:rPr>
                <w:rFonts w:hint="eastAsia"/>
              </w:rPr>
              <w:t>万元的，按</w:t>
            </w:r>
            <w:r>
              <w:rPr>
                <w:rFonts w:hint="eastAsia"/>
                <w:lang w:val="en-US" w:eastAsia="zh-CN"/>
              </w:rPr>
              <w:t>1</w:t>
            </w:r>
            <w:r>
              <w:rPr>
                <w:rFonts w:hint="eastAsia"/>
              </w:rPr>
              <w:t>万元罚款；有违法所得的，没收违法所得；有营业执照的，由</w:t>
            </w:r>
            <w:r>
              <w:rPr>
                <w:rFonts w:hint="eastAsia"/>
                <w:lang w:val="en-US" w:eastAsia="zh-CN"/>
              </w:rPr>
              <w:t>市场监督管理</w:t>
            </w:r>
            <w:r>
              <w:rPr>
                <w:rFonts w:hint="eastAsia"/>
              </w:rPr>
              <w:t>部门吊销营业执照；构成犯罪的，依法追究刑事责任。</w:t>
            </w:r>
          </w:p>
        </w:tc>
        <w:tc>
          <w:tcPr>
            <w:tcW w:w="1450" w:type="dxa"/>
            <w:vMerge w:val="restart"/>
            <w:tcBorders>
              <w:tl2br w:val="nil"/>
              <w:tr2bl w:val="nil"/>
            </w:tcBorders>
            <w:noWrap w:val="0"/>
            <w:vAlign w:val="top"/>
          </w:tcPr>
          <w:p>
            <w:pPr>
              <w:widowControl/>
              <w:spacing w:line="300" w:lineRule="exact"/>
              <w:jc w:val="left"/>
              <w:textAlignment w:val="top"/>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依照上位法《易制毒化学品管理条例》第三十八条第一款的规定处罚，不需另行分阶。</w:t>
            </w: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cs="宋体"/>
                <w:color w:val="auto"/>
                <w:kern w:val="0"/>
                <w:szCs w:val="21"/>
                <w:highlight w:val="none"/>
                <w:lang w:val="en-US" w:eastAsia="zh-CN"/>
              </w:rPr>
            </w:pPr>
          </w:p>
          <w:p>
            <w:pPr>
              <w:widowControl/>
              <w:spacing w:line="300" w:lineRule="exact"/>
              <w:jc w:val="left"/>
              <w:textAlignment w:val="top"/>
              <w:rPr>
                <w:rFonts w:hint="eastAsia" w:ascii="宋体" w:hAnsi="宋体" w:eastAsia="宋体" w:cs="宋体"/>
                <w:color w:val="auto"/>
                <w:kern w:val="0"/>
                <w:szCs w:val="21"/>
                <w:highlight w:val="none"/>
              </w:rPr>
            </w:pPr>
          </w:p>
        </w:tc>
        <w:tc>
          <w:tcPr>
            <w:tcW w:w="1887" w:type="dxa"/>
            <w:tcBorders>
              <w:tl2br w:val="nil"/>
              <w:tr2bl w:val="nil"/>
            </w:tcBorders>
            <w:noWrap w:val="0"/>
            <w:vAlign w:val="top"/>
          </w:tcPr>
          <w:p>
            <w:pPr>
              <w:widowControl/>
              <w:spacing w:line="300" w:lineRule="exact"/>
              <w:jc w:val="left"/>
              <w:textAlignment w:val="top"/>
              <w:rPr>
                <w:rFonts w:hint="eastAsia"/>
              </w:rPr>
            </w:pPr>
            <w:r>
              <w:rPr>
                <w:rFonts w:hint="eastAsia"/>
                <w:lang w:val="en-US" w:eastAsia="zh-CN"/>
              </w:rPr>
              <w:t>由公安机关</w:t>
            </w:r>
            <w:r>
              <w:rPr>
                <w:rFonts w:hint="eastAsia"/>
              </w:rPr>
              <w:t>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w:t>
            </w:r>
            <w:r>
              <w:rPr>
                <w:rFonts w:hint="eastAsia"/>
                <w:lang w:val="en-US" w:eastAsia="zh-CN"/>
              </w:rPr>
              <w:t>1</w:t>
            </w:r>
            <w:r>
              <w:rPr>
                <w:rFonts w:hint="eastAsia"/>
              </w:rPr>
              <w:t>万元的，按</w:t>
            </w:r>
            <w:r>
              <w:rPr>
                <w:rFonts w:hint="eastAsia"/>
                <w:lang w:val="en-US" w:eastAsia="zh-CN"/>
              </w:rPr>
              <w:t>1</w:t>
            </w:r>
            <w:r>
              <w:rPr>
                <w:rFonts w:hint="eastAsia"/>
              </w:rPr>
              <w:t>万元罚款；有违法所得的，没收违法所得；有营业执照的，由</w:t>
            </w:r>
            <w:r>
              <w:rPr>
                <w:rFonts w:hint="eastAsia"/>
                <w:lang w:val="en-US" w:eastAsia="zh-CN"/>
              </w:rPr>
              <w:t>市场监督管理</w:t>
            </w:r>
            <w:r>
              <w:rPr>
                <w:rFonts w:hint="eastAsia"/>
              </w:rPr>
              <w:t>部门吊销营业执照；构成犯罪的，依法追究刑事责任</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416" w:hRule="atLeast"/>
        </w:trPr>
        <w:tc>
          <w:tcPr>
            <w:tcW w:w="1304" w:type="dxa"/>
            <w:tcBorders>
              <w:tl2br w:val="nil"/>
              <w:tr2bl w:val="nil"/>
            </w:tcBorders>
            <w:noWrap w:val="0"/>
            <w:vAlign w:val="top"/>
          </w:tcPr>
          <w:p>
            <w:pPr>
              <w:widowControl/>
              <w:spacing w:line="300" w:lineRule="exact"/>
              <w:jc w:val="both"/>
              <w:textAlignment w:val="top"/>
              <w:rPr>
                <w:rFonts w:hint="default" w:ascii="宋体" w:hAnsi="宋体" w:eastAsia="宋体" w:cs="宋体"/>
                <w:color w:val="auto"/>
                <w:kern w:val="0"/>
                <w:szCs w:val="21"/>
                <w:highlight w:val="none"/>
                <w:lang w:val="en-US" w:eastAsia="zh-CN"/>
              </w:rPr>
            </w:pPr>
          </w:p>
        </w:tc>
        <w:tc>
          <w:tcPr>
            <w:tcW w:w="1494"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2583"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450"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rPr>
            </w:pPr>
          </w:p>
        </w:tc>
        <w:tc>
          <w:tcPr>
            <w:tcW w:w="1887" w:type="dxa"/>
            <w:tcBorders>
              <w:tl2br w:val="nil"/>
              <w:tr2bl w:val="nil"/>
            </w:tcBorders>
            <w:noWrap w:val="0"/>
            <w:vAlign w:val="top"/>
          </w:tcPr>
          <w:p>
            <w:pPr>
              <w:widowControl/>
              <w:spacing w:line="300" w:lineRule="exact"/>
              <w:jc w:val="left"/>
              <w:textAlignment w:val="top"/>
              <w:rPr>
                <w:rFonts w:hint="eastAsia" w:ascii="宋体" w:hAnsi="宋体" w:eastAsia="宋体" w:cs="宋体"/>
                <w:color w:val="auto"/>
                <w:kern w:val="0"/>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05" w:hRule="atLeast"/>
        </w:trPr>
        <w:tc>
          <w:tcPr>
            <w:tcW w:w="8718" w:type="dxa"/>
            <w:gridSpan w:val="5"/>
            <w:tcBorders>
              <w:top w:val="nil"/>
              <w:left w:val="single" w:color="auto" w:sz="4" w:space="0"/>
              <w:bottom w:val="single" w:color="auto" w:sz="4" w:space="0"/>
              <w:right w:val="single" w:color="auto" w:sz="4" w:space="0"/>
              <w:tl2br w:val="nil"/>
              <w:tr2bl w:val="nil"/>
            </w:tcBorders>
            <w:noWrap w:val="0"/>
            <w:vAlign w:val="top"/>
          </w:tcPr>
          <w:p>
            <w:pPr>
              <w:widowControl/>
              <w:spacing w:line="300" w:lineRule="exact"/>
              <w:jc w:val="left"/>
              <w:textAlignment w:val="top"/>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本“办法”第三十条、第三十二条的违法行为，依照上位法《易制毒化学品管理条例》（简称《条例》）第三十八条第一款的规定处罚；第三十三条的违法行为，依照《条例》第四十一条第一款的规定处罚；第三十六条的各项违法行为，依照《条例》第四十条第一款相应项的规定处罚；第三十七条的违法行为，依照《条例》第四十二条的规定处罚。</w:t>
            </w:r>
          </w:p>
        </w:tc>
      </w:tr>
    </w:tbl>
    <w:p>
      <w:pPr>
        <w:spacing w:afterLines="80" w:line="460" w:lineRule="exact"/>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违反《麻醉药品和精神药品管理条例》处罚裁量基准</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774"/>
        <w:gridCol w:w="2735"/>
        <w:gridCol w:w="1705"/>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c>
          <w:tcPr>
            <w:tcW w:w="1304"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编  码</w:t>
            </w:r>
          </w:p>
        </w:tc>
        <w:tc>
          <w:tcPr>
            <w:tcW w:w="1774"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违法行为</w:t>
            </w:r>
          </w:p>
        </w:tc>
        <w:tc>
          <w:tcPr>
            <w:tcW w:w="2735"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法律依据</w:t>
            </w:r>
          </w:p>
        </w:tc>
        <w:tc>
          <w:tcPr>
            <w:tcW w:w="1705"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违法情节</w:t>
            </w:r>
          </w:p>
        </w:tc>
        <w:tc>
          <w:tcPr>
            <w:tcW w:w="1200" w:type="dxa"/>
            <w:tcBorders>
              <w:tl2br w:val="nil"/>
              <w:tr2bl w:val="nil"/>
            </w:tcBorders>
            <w:noWrap w:val="0"/>
            <w:vAlign w:val="center"/>
          </w:tcPr>
          <w:p>
            <w:pPr>
              <w:widowControl/>
              <w:spacing w:line="320" w:lineRule="exact"/>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04" w:hRule="exact"/>
        </w:trPr>
        <w:tc>
          <w:tcPr>
            <w:tcW w:w="1304" w:type="dxa"/>
            <w:tcBorders>
              <w:tl2br w:val="nil"/>
              <w:tr2bl w:val="nil"/>
            </w:tcBorders>
            <w:noWrap w:val="0"/>
            <w:vAlign w:val="top"/>
          </w:tcPr>
          <w:p>
            <w:pPr>
              <w:widowControl/>
              <w:spacing w:line="32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C05712A010</w:t>
            </w:r>
          </w:p>
        </w:tc>
        <w:tc>
          <w:tcPr>
            <w:tcW w:w="1774" w:type="dxa"/>
            <w:vMerge w:val="restart"/>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违反本条例的规定，致使麻醉药品、精神药品流入非法渠道造成危害，尚不构成犯罪。</w:t>
            </w:r>
          </w:p>
        </w:tc>
        <w:tc>
          <w:tcPr>
            <w:tcW w:w="2735" w:type="dxa"/>
            <w:vMerge w:val="restart"/>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第八十二条第一款 </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tc>
        <w:tc>
          <w:tcPr>
            <w:tcW w:w="1705" w:type="dxa"/>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实施</w:t>
            </w:r>
            <w:r>
              <w:rPr>
                <w:rFonts w:hint="eastAsia" w:ascii="宋体" w:hAnsi="宋体" w:eastAsia="宋体" w:cs="宋体"/>
                <w:color w:val="auto"/>
                <w:kern w:val="0"/>
                <w:szCs w:val="21"/>
                <w:highlight w:val="none"/>
              </w:rPr>
              <w:t>违法</w:t>
            </w:r>
            <w:r>
              <w:rPr>
                <w:rFonts w:hint="eastAsia" w:ascii="宋体" w:hAnsi="宋体" w:cs="宋体"/>
                <w:color w:val="auto"/>
                <w:kern w:val="0"/>
                <w:szCs w:val="21"/>
                <w:highlight w:val="none"/>
                <w:lang w:val="en-US" w:eastAsia="zh-CN"/>
              </w:rPr>
              <w:t>行为</w:t>
            </w:r>
            <w:r>
              <w:rPr>
                <w:rFonts w:hint="eastAsia" w:ascii="宋体" w:hAnsi="宋体" w:eastAsia="宋体" w:cs="宋体"/>
                <w:color w:val="auto"/>
                <w:kern w:val="0"/>
                <w:szCs w:val="21"/>
                <w:highlight w:val="none"/>
              </w:rPr>
              <w:t>数量较小</w:t>
            </w:r>
          </w:p>
        </w:tc>
        <w:tc>
          <w:tcPr>
            <w:tcW w:w="1200" w:type="dxa"/>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处5万元以上8万元以下罚款；有违法所得的，没收违法所得</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构成犯罪的，依法追究刑事责任。</w:t>
            </w:r>
          </w:p>
          <w:p>
            <w:pPr>
              <w:widowControl/>
              <w:spacing w:line="320" w:lineRule="exact"/>
              <w:jc w:val="left"/>
              <w:textAlignment w:val="top"/>
              <w:rPr>
                <w:rFonts w:hint="eastAsia" w:ascii="宋体" w:hAnsi="宋体" w:eastAsia="宋体" w:cs="宋体"/>
                <w:color w:val="auto"/>
                <w:kern w:val="0"/>
                <w:szCs w:val="21"/>
                <w:highlight w:val="none"/>
              </w:rPr>
            </w:pPr>
          </w:p>
          <w:p>
            <w:pPr>
              <w:widowControl/>
              <w:spacing w:line="320" w:lineRule="exact"/>
              <w:jc w:val="left"/>
              <w:textAlignment w:val="top"/>
              <w:rPr>
                <w:rFonts w:hint="eastAsia" w:ascii="宋体" w:hAnsi="宋体" w:eastAsia="宋体" w:cs="宋体"/>
                <w:color w:val="auto"/>
                <w:kern w:val="0"/>
                <w:szCs w:val="21"/>
                <w:highlight w:val="none"/>
              </w:rPr>
            </w:pPr>
          </w:p>
          <w:p>
            <w:pPr>
              <w:widowControl/>
              <w:spacing w:line="32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43" w:hRule="exact"/>
        </w:trPr>
        <w:tc>
          <w:tcPr>
            <w:tcW w:w="1304" w:type="dxa"/>
            <w:tcBorders>
              <w:tl2br w:val="nil"/>
              <w:tr2bl w:val="nil"/>
            </w:tcBorders>
            <w:noWrap w:val="0"/>
            <w:vAlign w:val="top"/>
          </w:tcPr>
          <w:p>
            <w:pPr>
              <w:widowControl/>
              <w:spacing w:line="32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C05712A020</w:t>
            </w:r>
          </w:p>
        </w:tc>
        <w:tc>
          <w:tcPr>
            <w:tcW w:w="1774" w:type="dxa"/>
            <w:vMerge w:val="continue"/>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p>
        </w:tc>
        <w:tc>
          <w:tcPr>
            <w:tcW w:w="2735" w:type="dxa"/>
            <w:vMerge w:val="continue"/>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p>
        </w:tc>
        <w:tc>
          <w:tcPr>
            <w:tcW w:w="1705" w:type="dxa"/>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实施违法行为数量较大</w:t>
            </w:r>
          </w:p>
        </w:tc>
        <w:tc>
          <w:tcPr>
            <w:tcW w:w="1200" w:type="dxa"/>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处8万元以上10万元以下罚款；有违法所得的，没收违法所得</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构成犯罪的，依法追究刑事责任。</w:t>
            </w:r>
          </w:p>
          <w:p>
            <w:pPr>
              <w:widowControl/>
              <w:spacing w:line="320" w:lineRule="exact"/>
              <w:jc w:val="left"/>
              <w:textAlignment w:val="top"/>
              <w:rPr>
                <w:rFonts w:hint="eastAsia" w:ascii="宋体" w:hAnsi="宋体" w:eastAsia="宋体" w:cs="宋体"/>
                <w:color w:val="auto"/>
                <w:kern w:val="0"/>
                <w:szCs w:val="21"/>
                <w:highlight w:val="none"/>
              </w:rPr>
            </w:pPr>
          </w:p>
          <w:p>
            <w:pPr>
              <w:widowControl/>
              <w:spacing w:line="320" w:lineRule="exact"/>
              <w:jc w:val="left"/>
              <w:textAlignment w:val="top"/>
              <w:rPr>
                <w:rFonts w:hint="eastAsia" w:ascii="宋体" w:hAnsi="宋体" w:eastAsia="宋体" w:cs="宋体"/>
                <w:color w:val="auto"/>
                <w:kern w:val="0"/>
                <w:szCs w:val="21"/>
                <w:highlight w:val="none"/>
              </w:rPr>
            </w:pPr>
          </w:p>
          <w:p>
            <w:pPr>
              <w:widowControl/>
              <w:spacing w:line="32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97" w:hRule="exact"/>
        </w:trPr>
        <w:tc>
          <w:tcPr>
            <w:tcW w:w="1304" w:type="dxa"/>
            <w:tcBorders>
              <w:tl2br w:val="nil"/>
              <w:tr2bl w:val="nil"/>
            </w:tcBorders>
            <w:noWrap w:val="0"/>
            <w:vAlign w:val="top"/>
          </w:tcPr>
          <w:p>
            <w:pPr>
              <w:widowControl/>
              <w:spacing w:line="32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C05712A030</w:t>
            </w:r>
          </w:p>
        </w:tc>
        <w:tc>
          <w:tcPr>
            <w:tcW w:w="1774" w:type="dxa"/>
            <w:vMerge w:val="continue"/>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p>
        </w:tc>
        <w:tc>
          <w:tcPr>
            <w:tcW w:w="2735" w:type="dxa"/>
            <w:vMerge w:val="continue"/>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p>
        </w:tc>
        <w:tc>
          <w:tcPr>
            <w:tcW w:w="1705" w:type="dxa"/>
            <w:tcBorders>
              <w:tl2br w:val="nil"/>
              <w:tr2bl w:val="nil"/>
            </w:tcBorders>
            <w:noWrap w:val="0"/>
            <w:vAlign w:val="top"/>
          </w:tcPr>
          <w:p>
            <w:pPr>
              <w:widowControl/>
              <w:spacing w:line="320" w:lineRule="exact"/>
              <w:jc w:val="left"/>
              <w:textAlignment w:val="top"/>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实施违法行为数量大</w:t>
            </w:r>
          </w:p>
        </w:tc>
        <w:tc>
          <w:tcPr>
            <w:tcW w:w="1200" w:type="dxa"/>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处违法所得的2倍以上3倍以下罚款，没收违法所得</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构成犯罪的，依法追究刑事责任。</w:t>
            </w:r>
          </w:p>
          <w:p>
            <w:pPr>
              <w:widowControl/>
              <w:spacing w:line="320" w:lineRule="exact"/>
              <w:jc w:val="left"/>
              <w:textAlignment w:val="top"/>
              <w:rPr>
                <w:rFonts w:hint="eastAsia" w:ascii="宋体" w:hAnsi="宋体" w:eastAsia="宋体" w:cs="宋体"/>
                <w:color w:val="auto"/>
                <w:kern w:val="0"/>
                <w:szCs w:val="21"/>
                <w:highlight w:val="none"/>
              </w:rPr>
            </w:pPr>
          </w:p>
          <w:p>
            <w:pPr>
              <w:widowControl/>
              <w:spacing w:line="320" w:lineRule="exact"/>
              <w:jc w:val="left"/>
              <w:textAlignment w:val="top"/>
              <w:rPr>
                <w:rFonts w:hint="eastAsia" w:ascii="宋体" w:hAnsi="宋体" w:eastAsia="宋体" w:cs="宋体"/>
                <w:color w:val="auto"/>
                <w:kern w:val="0"/>
                <w:szCs w:val="21"/>
                <w:highlight w:val="none"/>
              </w:rPr>
            </w:pPr>
          </w:p>
          <w:p>
            <w:pPr>
              <w:widowControl/>
              <w:spacing w:line="320" w:lineRule="exact"/>
              <w:jc w:val="left"/>
              <w:textAlignment w:val="top"/>
              <w:rPr>
                <w:rFonts w:hint="eastAsia" w:ascii="宋体" w:hAnsi="宋体" w:eastAsia="宋体" w:cs="宋体"/>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36" w:hRule="exact"/>
        </w:trPr>
        <w:tc>
          <w:tcPr>
            <w:tcW w:w="1304" w:type="dxa"/>
            <w:tcBorders>
              <w:tl2br w:val="nil"/>
              <w:tr2bl w:val="nil"/>
            </w:tcBorders>
            <w:noWrap w:val="0"/>
            <w:vAlign w:val="top"/>
          </w:tcPr>
          <w:p>
            <w:pPr>
              <w:widowControl/>
              <w:spacing w:line="320" w:lineRule="exact"/>
              <w:jc w:val="center"/>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C05712A040</w:t>
            </w:r>
          </w:p>
        </w:tc>
        <w:tc>
          <w:tcPr>
            <w:tcW w:w="1774" w:type="dxa"/>
            <w:vMerge w:val="continue"/>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p>
        </w:tc>
        <w:tc>
          <w:tcPr>
            <w:tcW w:w="2735" w:type="dxa"/>
            <w:vMerge w:val="continue"/>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p>
        </w:tc>
        <w:tc>
          <w:tcPr>
            <w:tcW w:w="1705" w:type="dxa"/>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实施违法行为</w:t>
            </w:r>
            <w:r>
              <w:rPr>
                <w:rFonts w:hint="eastAsia" w:ascii="宋体" w:hAnsi="宋体" w:cs="宋体"/>
                <w:color w:val="auto"/>
                <w:kern w:val="0"/>
                <w:szCs w:val="21"/>
                <w:highlight w:val="none"/>
                <w:lang w:val="en-US" w:eastAsia="zh-CN"/>
              </w:rPr>
              <w:t>数量大且</w:t>
            </w:r>
            <w:r>
              <w:rPr>
                <w:rFonts w:hint="eastAsia" w:ascii="宋体" w:hAnsi="宋体" w:eastAsia="宋体" w:cs="宋体"/>
                <w:color w:val="auto"/>
                <w:kern w:val="0"/>
                <w:szCs w:val="21"/>
                <w:highlight w:val="none"/>
              </w:rPr>
              <w:t>造成严重危害</w:t>
            </w:r>
          </w:p>
        </w:tc>
        <w:tc>
          <w:tcPr>
            <w:tcW w:w="1200" w:type="dxa"/>
            <w:tcBorders>
              <w:tl2br w:val="nil"/>
              <w:tr2bl w:val="nil"/>
            </w:tcBorders>
            <w:noWrap w:val="0"/>
            <w:vAlign w:val="top"/>
          </w:tcPr>
          <w:p>
            <w:pPr>
              <w:widowControl/>
              <w:spacing w:line="320" w:lineRule="exact"/>
              <w:jc w:val="left"/>
              <w:textAlignment w:val="top"/>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处违法所得的3倍以上5倍以下罚款，没收违法所得</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构成犯罪的，依法追究刑事责任。</w:t>
            </w:r>
          </w:p>
          <w:p>
            <w:pPr>
              <w:widowControl/>
              <w:spacing w:line="320" w:lineRule="exact"/>
              <w:jc w:val="left"/>
              <w:textAlignment w:val="top"/>
              <w:rPr>
                <w:rFonts w:hint="eastAsia" w:ascii="宋体" w:hAnsi="宋体" w:eastAsia="宋体" w:cs="宋体"/>
                <w:color w:val="auto"/>
                <w:kern w:val="0"/>
                <w:szCs w:val="21"/>
                <w:highlight w:val="none"/>
              </w:rPr>
            </w:pPr>
          </w:p>
          <w:p>
            <w:pPr>
              <w:widowControl/>
              <w:spacing w:line="320" w:lineRule="exact"/>
              <w:jc w:val="left"/>
              <w:textAlignment w:val="top"/>
              <w:rPr>
                <w:rFonts w:hint="eastAsia" w:ascii="宋体" w:hAnsi="宋体" w:eastAsia="宋体" w:cs="宋体"/>
                <w:color w:val="auto"/>
                <w:kern w:val="0"/>
                <w:szCs w:val="21"/>
                <w:highlight w:val="none"/>
              </w:rPr>
            </w:pPr>
          </w:p>
          <w:p>
            <w:pPr>
              <w:widowControl/>
              <w:spacing w:line="320" w:lineRule="exact"/>
              <w:jc w:val="left"/>
              <w:textAlignment w:val="top"/>
              <w:rPr>
                <w:rFonts w:hint="eastAsia" w:ascii="宋体" w:hAnsi="宋体" w:eastAsia="宋体" w:cs="宋体"/>
                <w:color w:val="auto"/>
                <w:kern w:val="0"/>
                <w:szCs w:val="21"/>
                <w:highlight w:val="none"/>
              </w:rPr>
            </w:pPr>
          </w:p>
          <w:p>
            <w:pPr>
              <w:widowControl/>
              <w:spacing w:line="320" w:lineRule="exact"/>
              <w:jc w:val="left"/>
              <w:textAlignment w:val="top"/>
              <w:rPr>
                <w:rFonts w:hint="eastAsia" w:ascii="宋体" w:hAnsi="宋体" w:eastAsia="宋体" w:cs="宋体"/>
                <w:color w:val="auto"/>
                <w:kern w:val="0"/>
                <w:szCs w:val="21"/>
                <w:highlight w:val="none"/>
              </w:rPr>
            </w:pPr>
          </w:p>
          <w:p>
            <w:pPr>
              <w:widowControl/>
              <w:spacing w:line="320" w:lineRule="exact"/>
              <w:jc w:val="left"/>
              <w:textAlignment w:val="top"/>
              <w:rPr>
                <w:rFonts w:hint="eastAsia" w:ascii="宋体" w:hAnsi="宋体" w:eastAsia="宋体" w:cs="宋体"/>
                <w:color w:val="auto"/>
                <w:kern w:val="0"/>
                <w:szCs w:val="21"/>
                <w:highlight w:val="none"/>
              </w:rPr>
            </w:pPr>
          </w:p>
        </w:tc>
      </w:tr>
    </w:tbl>
    <w:p>
      <w:pPr>
        <w:spacing w:afterLines="80" w:line="460" w:lineRule="exact"/>
        <w:jc w:val="center"/>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rPr>
        <w:t>违反《</w:t>
      </w:r>
      <w:r>
        <w:rPr>
          <w:rFonts w:hint="eastAsia" w:ascii="方正小标宋简体" w:hAnsi="方正小标宋简体" w:eastAsia="方正小标宋简体" w:cs="方正小标宋简体"/>
          <w:color w:val="auto"/>
          <w:sz w:val="36"/>
          <w:szCs w:val="36"/>
          <w:highlight w:val="none"/>
          <w:lang w:eastAsia="zh-CN"/>
        </w:rPr>
        <w:t>北京市禁毒条例</w:t>
      </w:r>
      <w:r>
        <w:rPr>
          <w:rFonts w:hint="eastAsia" w:ascii="方正小标宋简体" w:hAnsi="方正小标宋简体" w:eastAsia="方正小标宋简体" w:cs="方正小标宋简体"/>
          <w:color w:val="auto"/>
          <w:sz w:val="36"/>
          <w:szCs w:val="36"/>
          <w:highlight w:val="none"/>
        </w:rPr>
        <w:t>》</w:t>
      </w:r>
      <w:r>
        <w:rPr>
          <w:rFonts w:hint="eastAsia" w:ascii="方正小标宋简体" w:hAnsi="方正小标宋简体" w:eastAsia="方正小标宋简体" w:cs="方正小标宋简体"/>
          <w:color w:val="auto"/>
          <w:sz w:val="36"/>
          <w:szCs w:val="36"/>
          <w:highlight w:val="none"/>
          <w:lang w:eastAsia="zh-CN"/>
        </w:rPr>
        <w:t>处罚</w:t>
      </w:r>
      <w:r>
        <w:rPr>
          <w:rFonts w:hint="eastAsia" w:ascii="方正小标宋简体" w:hAnsi="方正小标宋简体" w:eastAsia="方正小标宋简体" w:cs="方正小标宋简体"/>
          <w:color w:val="auto"/>
          <w:sz w:val="36"/>
          <w:szCs w:val="36"/>
          <w:highlight w:val="none"/>
        </w:rPr>
        <w:t>裁量基准</w:t>
      </w:r>
    </w:p>
    <w:tbl>
      <w:tblPr>
        <w:tblStyle w:val="7"/>
        <w:tblW w:w="87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8"/>
        <w:gridCol w:w="1669"/>
        <w:gridCol w:w="2802"/>
        <w:gridCol w:w="1413"/>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1" w:hRule="atLeast"/>
          <w:tblHeader/>
        </w:trPr>
        <w:tc>
          <w:tcPr>
            <w:tcW w:w="1308" w:type="dxa"/>
            <w:tcBorders>
              <w:tl2br w:val="nil"/>
              <w:tr2bl w:val="nil"/>
            </w:tcBorders>
            <w:noWrap w:val="0"/>
            <w:vAlign w:val="top"/>
          </w:tcPr>
          <w:p>
            <w:pPr>
              <w:widowControl/>
              <w:spacing w:line="300" w:lineRule="exact"/>
              <w:jc w:val="center"/>
              <w:textAlignment w:val="top"/>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编</w:t>
            </w:r>
            <w:r>
              <w:rPr>
                <w:rFonts w:hint="eastAsia" w:ascii="宋体" w:hAnsi="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lang w:eastAsia="zh-CN"/>
              </w:rPr>
              <w:t>码</w:t>
            </w:r>
          </w:p>
        </w:tc>
        <w:tc>
          <w:tcPr>
            <w:tcW w:w="1669" w:type="dxa"/>
            <w:tcBorders>
              <w:tl2br w:val="nil"/>
              <w:tr2bl w:val="nil"/>
            </w:tcBorders>
            <w:noWrap w:val="0"/>
            <w:vAlign w:val="top"/>
          </w:tcPr>
          <w:p>
            <w:pPr>
              <w:widowControl/>
              <w:spacing w:line="300" w:lineRule="exact"/>
              <w:jc w:val="center"/>
              <w:textAlignment w:val="top"/>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违法行为</w:t>
            </w:r>
          </w:p>
        </w:tc>
        <w:tc>
          <w:tcPr>
            <w:tcW w:w="2802" w:type="dxa"/>
            <w:tcBorders>
              <w:tl2br w:val="nil"/>
              <w:tr2bl w:val="nil"/>
            </w:tcBorders>
            <w:noWrap w:val="0"/>
            <w:vAlign w:val="top"/>
          </w:tcPr>
          <w:p>
            <w:pPr>
              <w:widowControl/>
              <w:spacing w:line="300" w:lineRule="exact"/>
              <w:jc w:val="center"/>
              <w:textAlignment w:val="top"/>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法律依据</w:t>
            </w:r>
          </w:p>
        </w:tc>
        <w:tc>
          <w:tcPr>
            <w:tcW w:w="1413" w:type="dxa"/>
            <w:tcBorders>
              <w:tl2br w:val="nil"/>
              <w:tr2bl w:val="nil"/>
            </w:tcBorders>
            <w:noWrap w:val="0"/>
            <w:vAlign w:val="top"/>
          </w:tcPr>
          <w:p>
            <w:pPr>
              <w:widowControl/>
              <w:spacing w:line="300" w:lineRule="exact"/>
              <w:jc w:val="center"/>
              <w:textAlignment w:val="top"/>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违法情节</w:t>
            </w:r>
          </w:p>
        </w:tc>
        <w:tc>
          <w:tcPr>
            <w:tcW w:w="1605" w:type="dxa"/>
            <w:tcBorders>
              <w:tl2br w:val="nil"/>
              <w:tr2bl w:val="nil"/>
            </w:tcBorders>
            <w:noWrap w:val="0"/>
            <w:vAlign w:val="top"/>
          </w:tcPr>
          <w:p>
            <w:pPr>
              <w:widowControl/>
              <w:spacing w:line="300" w:lineRule="exact"/>
              <w:jc w:val="center"/>
              <w:textAlignment w:val="top"/>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089" w:hRule="atLeast"/>
        </w:trPr>
        <w:tc>
          <w:tcPr>
            <w:tcW w:w="1308" w:type="dxa"/>
            <w:tcBorders>
              <w:tl2br w:val="nil"/>
              <w:tr2bl w:val="nil"/>
            </w:tcBorders>
            <w:noWrap w:val="0"/>
            <w:vAlign w:val="top"/>
          </w:tcPr>
          <w:p>
            <w:pPr>
              <w:widowControl/>
              <w:spacing w:line="300" w:lineRule="exact"/>
              <w:jc w:val="center"/>
              <w:textAlignment w:val="top"/>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C05122A000</w:t>
            </w:r>
          </w:p>
        </w:tc>
        <w:tc>
          <w:tcPr>
            <w:tcW w:w="1669"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sz w:val="21"/>
                <w:szCs w:val="21"/>
                <w:highlight w:val="none"/>
                <w:lang w:eastAsia="zh-CN"/>
              </w:rPr>
              <w:t>非法种植罂粟、古柯植物、大麻植物以及国家规定管制的可以用于提炼加工毒品的其他原植物。</w:t>
            </w:r>
          </w:p>
        </w:tc>
        <w:tc>
          <w:tcPr>
            <w:tcW w:w="2802"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第四十四条</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违反本条例第十七条第一款规定，非法种植罂粟、古柯植物、大麻植物以及国家规定管制的可以用于提炼加工毒品的其他原植物，尚不构成犯罪的，依照《中华人民共和国治安管理处罚法》相关规定给予行政处罚。</w:t>
            </w:r>
          </w:p>
          <w:p>
            <w:pPr>
              <w:widowControl/>
              <w:spacing w:line="300" w:lineRule="exact"/>
              <w:jc w:val="left"/>
              <w:textAlignment w:val="top"/>
              <w:rPr>
                <w:rFonts w:hint="eastAsia" w:ascii="宋体" w:hAnsi="宋体" w:eastAsia="宋体" w:cs="宋体"/>
                <w:b w:val="0"/>
                <w:bCs w:val="0"/>
                <w:color w:val="auto"/>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中华人民共和国治安管理处罚法</w:t>
            </w:r>
            <w:r>
              <w:rPr>
                <w:rFonts w:hint="eastAsia" w:ascii="宋体" w:hAnsi="宋体" w:eastAsia="宋体" w:cs="宋体"/>
                <w:b w:val="0"/>
                <w:bCs w:val="0"/>
                <w:color w:val="auto"/>
                <w:sz w:val="21"/>
                <w:szCs w:val="21"/>
                <w:highlight w:val="none"/>
                <w:lang w:eastAsia="zh-CN"/>
              </w:rPr>
              <w:t>》第</w:t>
            </w:r>
            <w:r>
              <w:rPr>
                <w:rFonts w:hint="eastAsia" w:ascii="宋体" w:hAnsi="宋体" w:cs="宋体"/>
                <w:b w:val="0"/>
                <w:bCs w:val="0"/>
                <w:color w:val="auto"/>
                <w:sz w:val="21"/>
                <w:szCs w:val="21"/>
                <w:highlight w:val="none"/>
                <w:lang w:val="en-US" w:eastAsia="zh-CN"/>
              </w:rPr>
              <w:t>八十三</w:t>
            </w:r>
            <w:r>
              <w:rPr>
                <w:rFonts w:hint="eastAsia" w:ascii="宋体" w:hAnsi="宋体" w:eastAsia="宋体" w:cs="宋体"/>
                <w:b w:val="0"/>
                <w:bCs w:val="0"/>
                <w:color w:val="auto"/>
                <w:sz w:val="21"/>
                <w:szCs w:val="21"/>
                <w:highlight w:val="none"/>
                <w:lang w:eastAsia="zh-CN"/>
              </w:rPr>
              <w:t>条第一款</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CN"/>
              </w:rPr>
              <w:t>有下列行为之一的，处</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日以上</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日以下拘留，可以并处</w:t>
            </w:r>
            <w:r>
              <w:rPr>
                <w:rFonts w:hint="eastAsia" w:ascii="宋体" w:hAnsi="宋体" w:cs="宋体"/>
                <w:b w:val="0"/>
                <w:bCs w:val="0"/>
                <w:color w:val="auto"/>
                <w:sz w:val="21"/>
                <w:szCs w:val="21"/>
                <w:highlight w:val="none"/>
                <w:lang w:val="en-US" w:eastAsia="zh-CN"/>
              </w:rPr>
              <w:t>5000</w:t>
            </w:r>
            <w:r>
              <w:rPr>
                <w:rFonts w:hint="eastAsia" w:ascii="宋体" w:hAnsi="宋体" w:eastAsia="宋体" w:cs="宋体"/>
                <w:b w:val="0"/>
                <w:bCs w:val="0"/>
                <w:color w:val="auto"/>
                <w:sz w:val="21"/>
                <w:szCs w:val="21"/>
                <w:highlight w:val="none"/>
                <w:lang w:eastAsia="zh-CN"/>
              </w:rPr>
              <w:t>元以下罚款；情节较轻的，处</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日以下拘留或者</w:t>
            </w:r>
            <w:r>
              <w:rPr>
                <w:rFonts w:hint="eastAsia" w:ascii="宋体" w:hAnsi="宋体" w:cs="宋体"/>
                <w:b w:val="0"/>
                <w:bCs w:val="0"/>
                <w:color w:val="auto"/>
                <w:sz w:val="21"/>
                <w:szCs w:val="21"/>
                <w:highlight w:val="none"/>
                <w:lang w:val="en-US" w:eastAsia="zh-CN"/>
              </w:rPr>
              <w:t>1000元</w:t>
            </w:r>
            <w:r>
              <w:rPr>
                <w:rFonts w:hint="eastAsia" w:ascii="宋体" w:hAnsi="宋体" w:eastAsia="宋体" w:cs="宋体"/>
                <w:b w:val="0"/>
                <w:bCs w:val="0"/>
                <w:color w:val="auto"/>
                <w:sz w:val="21"/>
                <w:szCs w:val="21"/>
                <w:highlight w:val="none"/>
                <w:lang w:eastAsia="zh-CN"/>
              </w:rPr>
              <w:t>以下罚款：</w:t>
            </w:r>
          </w:p>
          <w:p>
            <w:pPr>
              <w:widowControl/>
              <w:numPr>
                <w:ilvl w:val="0"/>
                <w:numId w:val="4"/>
              </w:numPr>
              <w:spacing w:line="300" w:lineRule="exact"/>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非法种植罂粟不满</w:t>
            </w:r>
            <w:r>
              <w:rPr>
                <w:rFonts w:hint="eastAsia" w:ascii="宋体" w:hAnsi="宋体" w:eastAsia="宋体" w:cs="宋体"/>
                <w:b w:val="0"/>
                <w:bCs w:val="0"/>
                <w:color w:val="auto"/>
                <w:sz w:val="21"/>
                <w:szCs w:val="21"/>
                <w:highlight w:val="none"/>
                <w:lang w:val="en-US" w:eastAsia="zh-CN"/>
              </w:rPr>
              <w:t>500</w:t>
            </w:r>
            <w:r>
              <w:rPr>
                <w:rFonts w:hint="eastAsia" w:ascii="宋体" w:hAnsi="宋体" w:eastAsia="宋体" w:cs="宋体"/>
                <w:b w:val="0"/>
                <w:bCs w:val="0"/>
                <w:color w:val="auto"/>
                <w:sz w:val="21"/>
                <w:szCs w:val="21"/>
                <w:highlight w:val="none"/>
                <w:lang w:eastAsia="zh-CN"/>
              </w:rPr>
              <w:t>株或者其他少量毒品原植物的。</w:t>
            </w:r>
          </w:p>
          <w:p>
            <w:pPr>
              <w:widowControl/>
              <w:numPr>
                <w:ilvl w:val="0"/>
                <w:numId w:val="0"/>
              </w:numPr>
              <w:spacing w:line="300" w:lineRule="exact"/>
              <w:jc w:val="left"/>
              <w:textAlignment w:val="top"/>
              <w:rPr>
                <w:rFonts w:hint="eastAsia" w:ascii="宋体" w:hAnsi="宋体" w:eastAsia="宋体" w:cs="宋体"/>
                <w:b w:val="0"/>
                <w:bCs w:val="0"/>
                <w:color w:val="auto"/>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第</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eastAsia="zh-CN"/>
              </w:rPr>
              <w:t>款</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有前款第一项行为，在成熟前自行铲除的，不予处罚。</w:t>
            </w:r>
          </w:p>
          <w:p>
            <w:pPr>
              <w:widowControl/>
              <w:spacing w:line="300" w:lineRule="exact"/>
              <w:jc w:val="left"/>
              <w:textAlignment w:val="top"/>
              <w:rPr>
                <w:rFonts w:hint="eastAsia" w:ascii="宋体" w:hAnsi="宋体" w:eastAsia="宋体" w:cs="宋体"/>
                <w:b w:val="0"/>
                <w:bCs w:val="0"/>
                <w:color w:val="auto"/>
                <w:sz w:val="21"/>
                <w:szCs w:val="21"/>
                <w:highlight w:val="none"/>
                <w:lang w:val="en-US" w:eastAsia="zh-CN"/>
              </w:rPr>
            </w:pPr>
          </w:p>
          <w:p>
            <w:pPr>
              <w:widowControl/>
              <w:spacing w:line="300" w:lineRule="exact"/>
              <w:jc w:val="left"/>
              <w:textAlignment w:val="top"/>
              <w:rPr>
                <w:rFonts w:hint="eastAsia" w:ascii="宋体" w:hAnsi="宋体" w:eastAsia="宋体" w:cs="宋体"/>
                <w:b w:val="0"/>
                <w:bCs w:val="0"/>
                <w:color w:val="auto"/>
                <w:sz w:val="21"/>
                <w:szCs w:val="21"/>
                <w:highlight w:val="none"/>
                <w:lang w:val="en-US" w:eastAsia="zh-CN"/>
              </w:rPr>
            </w:pPr>
          </w:p>
          <w:p>
            <w:pPr>
              <w:widowControl/>
              <w:spacing w:line="300" w:lineRule="exact"/>
              <w:jc w:val="left"/>
              <w:textAlignment w:val="top"/>
              <w:rPr>
                <w:rFonts w:hint="eastAsia" w:ascii="宋体" w:hAnsi="宋体" w:eastAsia="宋体" w:cs="宋体"/>
                <w:b w:val="0"/>
                <w:bCs w:val="0"/>
                <w:color w:val="auto"/>
                <w:sz w:val="21"/>
                <w:szCs w:val="21"/>
                <w:highlight w:val="none"/>
                <w:lang w:val="en-US" w:eastAsia="zh-CN"/>
              </w:rPr>
            </w:pPr>
          </w:p>
          <w:p>
            <w:pPr>
              <w:widowControl/>
              <w:spacing w:line="300" w:lineRule="exact"/>
              <w:jc w:val="left"/>
              <w:textAlignment w:val="top"/>
              <w:rPr>
                <w:rFonts w:hint="eastAsia" w:ascii="宋体" w:hAnsi="宋体" w:eastAsia="宋体" w:cs="宋体"/>
                <w:b w:val="0"/>
                <w:bCs w:val="0"/>
                <w:color w:val="auto"/>
                <w:sz w:val="21"/>
                <w:szCs w:val="21"/>
                <w:highlight w:val="none"/>
                <w:lang w:val="en-US" w:eastAsia="zh-CN"/>
              </w:rPr>
            </w:pPr>
          </w:p>
          <w:p>
            <w:pPr>
              <w:widowControl/>
              <w:spacing w:line="300" w:lineRule="exact"/>
              <w:jc w:val="left"/>
              <w:textAlignment w:val="top"/>
              <w:rPr>
                <w:rFonts w:hint="eastAsia" w:ascii="宋体" w:hAnsi="宋体" w:eastAsia="宋体" w:cs="宋体"/>
                <w:b w:val="0"/>
                <w:bCs w:val="0"/>
                <w:color w:val="auto"/>
                <w:sz w:val="21"/>
                <w:szCs w:val="21"/>
                <w:highlight w:val="none"/>
                <w:lang w:val="en-US" w:eastAsia="zh-CN"/>
              </w:rPr>
            </w:pPr>
          </w:p>
          <w:p>
            <w:pPr>
              <w:widowControl/>
              <w:spacing w:line="300" w:lineRule="exact"/>
              <w:jc w:val="left"/>
              <w:textAlignment w:val="top"/>
              <w:rPr>
                <w:rFonts w:hint="eastAsia" w:ascii="宋体" w:hAnsi="宋体" w:eastAsia="宋体" w:cs="宋体"/>
                <w:b w:val="0"/>
                <w:bCs w:val="0"/>
                <w:color w:val="auto"/>
                <w:sz w:val="21"/>
                <w:szCs w:val="21"/>
                <w:highlight w:val="none"/>
                <w:lang w:val="en-US" w:eastAsia="zh-CN"/>
              </w:rPr>
            </w:pPr>
          </w:p>
          <w:p>
            <w:pPr>
              <w:widowControl/>
              <w:spacing w:line="300" w:lineRule="exact"/>
              <w:jc w:val="left"/>
              <w:textAlignment w:val="top"/>
              <w:rPr>
                <w:rFonts w:hint="eastAsia" w:ascii="宋体" w:hAnsi="宋体" w:eastAsia="宋体" w:cs="宋体"/>
                <w:b w:val="0"/>
                <w:bCs w:val="0"/>
                <w:color w:val="auto"/>
                <w:sz w:val="21"/>
                <w:szCs w:val="21"/>
                <w:highlight w:val="none"/>
                <w:lang w:val="en-US" w:eastAsia="zh-CN"/>
              </w:rPr>
            </w:pPr>
          </w:p>
        </w:tc>
        <w:tc>
          <w:tcPr>
            <w:tcW w:w="1413"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不需另行分阶</w:t>
            </w: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依照</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eastAsia="zh-CN"/>
              </w:rPr>
              <w:t>中华人民共和国治安管理处罚法》依法处罚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30" w:hRule="atLeast"/>
        </w:trPr>
        <w:tc>
          <w:tcPr>
            <w:tcW w:w="1308" w:type="dxa"/>
            <w:tcBorders>
              <w:tl2br w:val="nil"/>
              <w:tr2bl w:val="nil"/>
            </w:tcBorders>
            <w:noWrap w:val="0"/>
            <w:vAlign w:val="top"/>
          </w:tcPr>
          <w:p>
            <w:pPr>
              <w:widowControl/>
              <w:spacing w:line="300" w:lineRule="exact"/>
              <w:jc w:val="center"/>
              <w:textAlignment w:val="top"/>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C06194B010</w:t>
            </w:r>
            <w:r>
              <w:rPr>
                <w:rFonts w:hint="eastAsia" w:ascii="宋体" w:hAnsi="宋体" w:cs="宋体"/>
                <w:b w:val="0"/>
                <w:bCs w:val="0"/>
                <w:color w:val="auto"/>
                <w:kern w:val="0"/>
                <w:sz w:val="21"/>
                <w:szCs w:val="21"/>
                <w:highlight w:val="none"/>
                <w:lang w:val="en-US" w:eastAsia="zh-CN"/>
              </w:rPr>
              <w:br w:type="textWrapping"/>
            </w:r>
            <w:r>
              <w:rPr>
                <w:rFonts w:hint="eastAsia" w:ascii="宋体" w:hAnsi="宋体" w:cs="宋体"/>
                <w:b w:val="0"/>
                <w:bCs w:val="0"/>
                <w:color w:val="auto"/>
                <w:kern w:val="0"/>
                <w:sz w:val="21"/>
                <w:szCs w:val="21"/>
                <w:highlight w:val="none"/>
                <w:lang w:val="en-US" w:eastAsia="zh-CN"/>
              </w:rPr>
              <w:t>C*****B010</w:t>
            </w:r>
          </w:p>
        </w:tc>
        <w:tc>
          <w:tcPr>
            <w:tcW w:w="1669"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未建立重点仪器设备信息登记制度</w:t>
            </w:r>
            <w:r>
              <w:rPr>
                <w:rFonts w:hint="eastAsia" w:ascii="宋体" w:hAnsi="宋体" w:eastAsia="宋体" w:cs="宋体"/>
                <w:b w:val="0"/>
                <w:bCs w:val="0"/>
                <w:color w:val="auto"/>
                <w:kern w:val="0"/>
                <w:sz w:val="21"/>
                <w:szCs w:val="21"/>
                <w:highlight w:val="none"/>
              </w:rPr>
              <w:t>；                      2、</w:t>
            </w:r>
            <w:r>
              <w:rPr>
                <w:rFonts w:hint="eastAsia" w:ascii="宋体" w:hAnsi="宋体" w:eastAsia="宋体" w:cs="宋体"/>
                <w:b w:val="0"/>
                <w:bCs w:val="0"/>
                <w:color w:val="auto"/>
                <w:sz w:val="21"/>
                <w:szCs w:val="21"/>
                <w:highlight w:val="none"/>
              </w:rPr>
              <w:t>未如实记录仪器设备的购置、销售、租赁、使用等情况</w:t>
            </w:r>
            <w:r>
              <w:rPr>
                <w:rFonts w:hint="eastAsia" w:ascii="宋体" w:hAnsi="宋体" w:eastAsia="宋体" w:cs="宋体"/>
                <w:b w:val="0"/>
                <w:bCs w:val="0"/>
                <w:color w:val="auto"/>
                <w:sz w:val="21"/>
                <w:szCs w:val="21"/>
                <w:highlight w:val="none"/>
                <w:lang w:eastAsia="zh-CN"/>
              </w:rPr>
              <w:t>。</w:t>
            </w:r>
          </w:p>
        </w:tc>
        <w:tc>
          <w:tcPr>
            <w:tcW w:w="2802"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第四十六条</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违反本条例第二十条规定，有关单位未按照国家要求建立可用于制造毒品或者鉴定毒品的重点仪器设备信息登记制度，或者未如实记录仪器设备的购置、销售、租赁、使用等情况的，由公安机关责令改正，给予警告</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造成严重后果的，处</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万元以上</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万元以下罚款。</w:t>
            </w:r>
          </w:p>
          <w:p>
            <w:pPr>
              <w:widowControl/>
              <w:spacing w:line="300" w:lineRule="exact"/>
              <w:jc w:val="left"/>
              <w:textAlignment w:val="top"/>
              <w:rPr>
                <w:rFonts w:hint="eastAsia" w:ascii="宋体" w:hAnsi="宋体" w:eastAsia="宋体" w:cs="宋体"/>
                <w:b w:val="0"/>
                <w:bCs w:val="0"/>
                <w:color w:val="auto"/>
                <w:sz w:val="21"/>
                <w:szCs w:val="21"/>
                <w:highlight w:val="none"/>
              </w:rPr>
            </w:pPr>
          </w:p>
          <w:p>
            <w:pPr>
              <w:widowControl/>
              <w:spacing w:line="300" w:lineRule="exact"/>
              <w:jc w:val="left"/>
              <w:textAlignment w:val="top"/>
              <w:rPr>
                <w:rFonts w:hint="eastAsia" w:ascii="宋体" w:hAnsi="宋体" w:eastAsia="宋体" w:cs="宋体"/>
                <w:b w:val="0"/>
                <w:bCs w:val="0"/>
                <w:color w:val="auto"/>
                <w:sz w:val="21"/>
                <w:szCs w:val="21"/>
                <w:highlight w:val="none"/>
              </w:rPr>
            </w:pPr>
          </w:p>
          <w:p>
            <w:pPr>
              <w:widowControl/>
              <w:spacing w:line="300" w:lineRule="exact"/>
              <w:jc w:val="left"/>
              <w:textAlignment w:val="top"/>
              <w:rPr>
                <w:rFonts w:hint="eastAsia" w:ascii="宋体" w:hAnsi="宋体" w:eastAsia="宋体" w:cs="宋体"/>
                <w:b w:val="0"/>
                <w:bCs w:val="0"/>
                <w:color w:val="auto"/>
                <w:sz w:val="21"/>
                <w:szCs w:val="21"/>
                <w:highlight w:val="none"/>
              </w:rPr>
            </w:pPr>
          </w:p>
        </w:tc>
        <w:tc>
          <w:tcPr>
            <w:tcW w:w="1413"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初次违法</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尚未造成后果</w:t>
            </w:r>
            <w:r>
              <w:rPr>
                <w:rFonts w:hint="eastAsia" w:ascii="宋体" w:hAnsi="宋体" w:eastAsia="宋体" w:cs="宋体"/>
                <w:b w:val="0"/>
                <w:bCs w:val="0"/>
                <w:color w:val="auto"/>
                <w:kern w:val="0"/>
                <w:sz w:val="21"/>
                <w:szCs w:val="21"/>
                <w:highlight w:val="none"/>
                <w:lang w:eastAsia="zh-CN"/>
              </w:rPr>
              <w:t>。</w:t>
            </w: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责令期改正，</w:t>
            </w:r>
            <w:r>
              <w:rPr>
                <w:rFonts w:hint="eastAsia" w:ascii="宋体" w:hAnsi="宋体" w:eastAsia="宋体" w:cs="宋体"/>
                <w:b w:val="0"/>
                <w:bCs w:val="0"/>
                <w:color w:val="auto"/>
                <w:kern w:val="0"/>
                <w:sz w:val="21"/>
                <w:szCs w:val="21"/>
                <w:highlight w:val="none"/>
                <w:lang w:eastAsia="zh-CN"/>
              </w:rPr>
              <w:t>给予警告。</w:t>
            </w: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43" w:hRule="atLeast"/>
        </w:trPr>
        <w:tc>
          <w:tcPr>
            <w:tcW w:w="1308" w:type="dxa"/>
            <w:tcBorders>
              <w:tl2br w:val="nil"/>
              <w:tr2bl w:val="nil"/>
            </w:tcBorders>
            <w:noWrap w:val="0"/>
            <w:vAlign w:val="top"/>
          </w:tcPr>
          <w:p>
            <w:pPr>
              <w:widowControl/>
              <w:spacing w:line="300" w:lineRule="exact"/>
              <w:jc w:val="center"/>
              <w:textAlignment w:val="top"/>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C06194B020</w:t>
            </w:r>
          </w:p>
          <w:p>
            <w:pPr>
              <w:widowControl/>
              <w:spacing w:line="300" w:lineRule="exact"/>
              <w:jc w:val="center"/>
              <w:textAlignment w:val="top"/>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C*****B020</w:t>
            </w:r>
          </w:p>
        </w:tc>
        <w:tc>
          <w:tcPr>
            <w:tcW w:w="1669"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2802"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1413"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r>
              <w:rPr>
                <w:rFonts w:hint="default" w:ascii="宋体" w:hAnsi="宋体" w:eastAsia="宋体" w:cs="宋体"/>
                <w:b w:val="0"/>
                <w:bCs w:val="0"/>
                <w:color w:val="auto"/>
                <w:kern w:val="0"/>
                <w:sz w:val="21"/>
                <w:szCs w:val="21"/>
                <w:highlight w:val="none"/>
                <w:lang w:val="en-US" w:eastAsia="zh-CN"/>
              </w:rPr>
              <w:t>经</w:t>
            </w:r>
            <w:r>
              <w:rPr>
                <w:rFonts w:hint="eastAsia" w:ascii="宋体" w:hAnsi="宋体" w:eastAsia="宋体" w:cs="宋体"/>
                <w:b w:val="0"/>
                <w:bCs w:val="0"/>
                <w:color w:val="auto"/>
                <w:kern w:val="0"/>
                <w:sz w:val="21"/>
                <w:szCs w:val="21"/>
                <w:highlight w:val="none"/>
                <w:lang w:eastAsia="zh-CN"/>
              </w:rPr>
              <w:t>警告后仍未建立制度，或者仍未如实记录相关情况，未造成</w:t>
            </w:r>
            <w:r>
              <w:rPr>
                <w:rFonts w:hint="eastAsia" w:ascii="宋体" w:hAnsi="宋体" w:eastAsia="宋体" w:cs="宋体"/>
                <w:b w:val="0"/>
                <w:bCs w:val="0"/>
                <w:color w:val="auto"/>
                <w:kern w:val="0"/>
                <w:sz w:val="21"/>
                <w:szCs w:val="21"/>
                <w:highlight w:val="none"/>
              </w:rPr>
              <w:t>一定后果。</w:t>
            </w:r>
          </w:p>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处</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万元以上</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30" w:hRule="atLeast"/>
        </w:trPr>
        <w:tc>
          <w:tcPr>
            <w:tcW w:w="1308" w:type="dxa"/>
            <w:tcBorders>
              <w:tl2br w:val="nil"/>
              <w:tr2bl w:val="nil"/>
            </w:tcBorders>
            <w:noWrap w:val="0"/>
            <w:vAlign w:val="top"/>
          </w:tcPr>
          <w:p>
            <w:pPr>
              <w:widowControl/>
              <w:spacing w:line="300" w:lineRule="exact"/>
              <w:jc w:val="center"/>
              <w:textAlignment w:val="top"/>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C06194B030</w:t>
            </w:r>
          </w:p>
          <w:p>
            <w:pPr>
              <w:widowControl/>
              <w:spacing w:line="300" w:lineRule="exact"/>
              <w:jc w:val="center"/>
              <w:textAlignment w:val="top"/>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C*****B030</w:t>
            </w:r>
          </w:p>
        </w:tc>
        <w:tc>
          <w:tcPr>
            <w:tcW w:w="1669"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2802"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1413"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r>
              <w:rPr>
                <w:rFonts w:hint="default" w:ascii="宋体" w:hAnsi="宋体" w:eastAsia="宋体" w:cs="宋体"/>
                <w:b w:val="0"/>
                <w:bCs w:val="0"/>
                <w:color w:val="auto"/>
                <w:kern w:val="0"/>
                <w:sz w:val="21"/>
                <w:szCs w:val="21"/>
                <w:highlight w:val="none"/>
                <w:lang w:val="en-US" w:eastAsia="zh-CN"/>
              </w:rPr>
              <w:t>经</w:t>
            </w:r>
            <w:r>
              <w:rPr>
                <w:rFonts w:hint="eastAsia" w:ascii="宋体" w:hAnsi="宋体" w:eastAsia="宋体" w:cs="宋体"/>
                <w:b w:val="0"/>
                <w:bCs w:val="0"/>
                <w:color w:val="auto"/>
                <w:kern w:val="0"/>
                <w:sz w:val="21"/>
                <w:szCs w:val="21"/>
                <w:highlight w:val="none"/>
                <w:lang w:eastAsia="zh-CN"/>
              </w:rPr>
              <w:t>警告后仍未建立制度，或者仍未如实记录相关情况，造成严重</w:t>
            </w:r>
            <w:r>
              <w:rPr>
                <w:rFonts w:hint="eastAsia" w:ascii="宋体" w:hAnsi="宋体" w:eastAsia="宋体" w:cs="宋体"/>
                <w:b w:val="0"/>
                <w:bCs w:val="0"/>
                <w:color w:val="auto"/>
                <w:kern w:val="0"/>
                <w:sz w:val="21"/>
                <w:szCs w:val="21"/>
                <w:highlight w:val="none"/>
              </w:rPr>
              <w:t>后果。</w:t>
            </w:r>
          </w:p>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处</w:t>
            </w:r>
            <w:r>
              <w:rPr>
                <w:rFonts w:hint="eastAsia" w:ascii="宋体" w:hAnsi="宋体" w:eastAsia="宋体" w:cs="宋体"/>
                <w:b w:val="0"/>
                <w:bCs w:val="0"/>
                <w:color w:val="auto"/>
                <w:kern w:val="0"/>
                <w:sz w:val="21"/>
                <w:szCs w:val="21"/>
                <w:highlight w:val="none"/>
                <w:lang w:val="en-US" w:eastAsia="zh-CN"/>
              </w:rPr>
              <w:t>3万元以上5万元以下罚款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70" w:hRule="atLeast"/>
        </w:trPr>
        <w:tc>
          <w:tcPr>
            <w:tcW w:w="1308" w:type="dxa"/>
            <w:tcBorders>
              <w:tl2br w:val="nil"/>
              <w:tr2bl w:val="nil"/>
            </w:tcBorders>
            <w:noWrap w:val="0"/>
            <w:vAlign w:val="top"/>
          </w:tcPr>
          <w:p>
            <w:pPr>
              <w:widowControl/>
              <w:spacing w:line="300" w:lineRule="exact"/>
              <w:jc w:val="center"/>
              <w:textAlignment w:val="top"/>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C06197C000</w:t>
            </w:r>
          </w:p>
          <w:p>
            <w:pPr>
              <w:widowControl/>
              <w:spacing w:line="300" w:lineRule="exact"/>
              <w:jc w:val="center"/>
              <w:textAlignment w:val="top"/>
              <w:rPr>
                <w:rFonts w:hint="default"/>
                <w:lang w:val="en-US" w:eastAsia="zh-CN"/>
              </w:rPr>
            </w:pPr>
            <w:r>
              <w:rPr>
                <w:rFonts w:hint="eastAsia" w:ascii="宋体" w:hAnsi="宋体" w:cs="宋体"/>
                <w:b w:val="0"/>
                <w:bCs w:val="0"/>
                <w:color w:val="auto"/>
                <w:kern w:val="0"/>
                <w:sz w:val="21"/>
                <w:szCs w:val="21"/>
                <w:highlight w:val="none"/>
                <w:lang w:val="en-US" w:eastAsia="zh-CN"/>
              </w:rPr>
              <w:t>C*****C000</w:t>
            </w:r>
          </w:p>
        </w:tc>
        <w:tc>
          <w:tcPr>
            <w:tcW w:w="1669" w:type="dxa"/>
            <w:tcBorders>
              <w:tl2br w:val="nil"/>
              <w:tr2bl w:val="nil"/>
            </w:tcBorders>
            <w:noWrap w:val="0"/>
            <w:vAlign w:val="top"/>
          </w:tcPr>
          <w:p>
            <w:pPr>
              <w:widowControl/>
              <w:numPr>
                <w:ilvl w:val="0"/>
                <w:numId w:val="0"/>
              </w:numPr>
              <w:spacing w:line="300" w:lineRule="exact"/>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未落实禁毒防范措施</w:t>
            </w:r>
            <w:r>
              <w:rPr>
                <w:rFonts w:hint="eastAsia" w:ascii="宋体" w:hAnsi="宋体" w:cs="宋体"/>
                <w:b w:val="0"/>
                <w:bCs w:val="0"/>
                <w:color w:val="auto"/>
                <w:sz w:val="21"/>
                <w:szCs w:val="21"/>
                <w:highlight w:val="none"/>
                <w:lang w:eastAsia="zh-CN"/>
              </w:rPr>
              <w:t>；</w:t>
            </w:r>
          </w:p>
          <w:p>
            <w:pPr>
              <w:widowControl/>
              <w:numPr>
                <w:ilvl w:val="0"/>
                <w:numId w:val="0"/>
              </w:numPr>
              <w:spacing w:line="300" w:lineRule="exact"/>
              <w:jc w:val="left"/>
              <w:textAlignment w:val="top"/>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b w:val="0"/>
                <w:bCs w:val="0"/>
                <w:color w:val="auto"/>
                <w:sz w:val="21"/>
                <w:szCs w:val="21"/>
                <w:highlight w:val="none"/>
              </w:rPr>
              <w:t>建立巡查制度</w:t>
            </w:r>
            <w:r>
              <w:rPr>
                <w:rFonts w:hint="eastAsia" w:ascii="宋体" w:hAnsi="宋体" w:eastAsia="宋体" w:cs="宋体"/>
                <w:b w:val="0"/>
                <w:bCs w:val="0"/>
                <w:color w:val="auto"/>
                <w:sz w:val="21"/>
                <w:szCs w:val="21"/>
                <w:highlight w:val="none"/>
                <w:lang w:eastAsia="zh-CN"/>
              </w:rPr>
              <w:t>。</w:t>
            </w:r>
          </w:p>
          <w:p>
            <w:pPr>
              <w:widowControl/>
              <w:numPr>
                <w:ilvl w:val="0"/>
                <w:numId w:val="0"/>
              </w:numPr>
              <w:spacing w:line="300" w:lineRule="exact"/>
              <w:jc w:val="left"/>
              <w:textAlignment w:val="top"/>
              <w:rPr>
                <w:rFonts w:hint="eastAsia" w:ascii="宋体" w:hAnsi="宋体" w:eastAsia="宋体" w:cs="宋体"/>
                <w:b w:val="0"/>
                <w:bCs w:val="0"/>
                <w:color w:val="auto"/>
                <w:sz w:val="21"/>
                <w:szCs w:val="21"/>
                <w:highlight w:val="none"/>
                <w:lang w:eastAsia="zh-CN"/>
              </w:rPr>
            </w:pPr>
          </w:p>
        </w:tc>
        <w:tc>
          <w:tcPr>
            <w:tcW w:w="2802"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第四十八条</w:t>
            </w:r>
            <w:r>
              <w:rPr>
                <w:rFonts w:hint="eastAsia" w:ascii="宋体" w:hAnsi="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lang w:val="en-US" w:eastAsia="zh-CN"/>
              </w:rPr>
              <w:t>违反本条例第二十五条第一款规定，有关场所的经营者、管理者未落实禁毒防范措施、建立巡查制度的，由公安机关责令改正，给予警告。</w:t>
            </w:r>
            <w:r>
              <w:rPr>
                <w:rFonts w:hint="eastAsia" w:ascii="宋体" w:hAnsi="宋体" w:eastAsia="宋体" w:cs="宋体"/>
                <w:b w:val="0"/>
                <w:bCs w:val="0"/>
                <w:color w:val="auto"/>
                <w:kern w:val="0"/>
                <w:sz w:val="21"/>
                <w:szCs w:val="21"/>
                <w:highlight w:val="none"/>
              </w:rPr>
              <w:t>发现场所内有毒品违法犯罪活动未向公安机关报告的，由公安机关给予警告，并处</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万元以上</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万元以下罚款，情节严重的，责令停业整顿</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个月至</w:t>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个月。</w:t>
            </w:r>
          </w:p>
        </w:tc>
        <w:tc>
          <w:tcPr>
            <w:tcW w:w="1413"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不需分阶</w:t>
            </w: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责令改正，给予警告。</w:t>
            </w: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40" w:hRule="atLeast"/>
        </w:trPr>
        <w:tc>
          <w:tcPr>
            <w:tcW w:w="1308" w:type="dxa"/>
            <w:tcBorders>
              <w:tl2br w:val="nil"/>
              <w:tr2bl w:val="nil"/>
            </w:tcBorders>
            <w:noWrap w:val="0"/>
            <w:vAlign w:val="top"/>
          </w:tcPr>
          <w:p>
            <w:pPr>
              <w:widowControl/>
              <w:spacing w:line="300" w:lineRule="exact"/>
              <w:jc w:val="center"/>
              <w:textAlignment w:val="top"/>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C06193B010</w:t>
            </w:r>
          </w:p>
        </w:tc>
        <w:tc>
          <w:tcPr>
            <w:tcW w:w="1669"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发现场所内有毒品违法犯罪活动未报告</w:t>
            </w:r>
          </w:p>
        </w:tc>
        <w:tc>
          <w:tcPr>
            <w:tcW w:w="2802"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1413"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初次违法，</w:t>
            </w:r>
            <w:r>
              <w:rPr>
                <w:rFonts w:hint="eastAsia" w:ascii="宋体" w:hAnsi="宋体" w:cs="宋体"/>
                <w:b w:val="0"/>
                <w:bCs w:val="0"/>
                <w:color w:val="auto"/>
                <w:kern w:val="0"/>
                <w:sz w:val="21"/>
                <w:szCs w:val="21"/>
                <w:highlight w:val="none"/>
                <w:lang w:val="en-US" w:eastAsia="zh-CN"/>
              </w:rPr>
              <w:t>尚</w:t>
            </w:r>
            <w:r>
              <w:rPr>
                <w:rFonts w:hint="eastAsia" w:ascii="宋体" w:hAnsi="宋体" w:eastAsia="宋体" w:cs="宋体"/>
                <w:b w:val="0"/>
                <w:bCs w:val="0"/>
                <w:color w:val="auto"/>
                <w:kern w:val="0"/>
                <w:sz w:val="21"/>
                <w:szCs w:val="21"/>
                <w:highlight w:val="none"/>
                <w:lang w:eastAsia="zh-CN"/>
              </w:rPr>
              <w:t>未造成后果。</w:t>
            </w: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给予警告，并处</w:t>
            </w:r>
            <w:r>
              <w:rPr>
                <w:rFonts w:hint="eastAsia" w:ascii="宋体" w:hAnsi="宋体" w:eastAsia="宋体" w:cs="宋体"/>
                <w:b w:val="0"/>
                <w:bCs w:val="0"/>
                <w:color w:val="auto"/>
                <w:kern w:val="0"/>
                <w:sz w:val="21"/>
                <w:szCs w:val="21"/>
                <w:highlight w:val="none"/>
                <w:lang w:val="en-US" w:eastAsia="zh-CN"/>
              </w:rPr>
              <w:t>1万元以上3万元以下罚款。</w:t>
            </w:r>
          </w:p>
          <w:p>
            <w:pPr>
              <w:widowControl/>
              <w:spacing w:line="300" w:lineRule="exact"/>
              <w:jc w:val="left"/>
              <w:textAlignment w:val="top"/>
              <w:rPr>
                <w:rFonts w:hint="eastAsia" w:ascii="宋体" w:hAnsi="宋体" w:eastAsia="宋体" w:cs="宋体"/>
                <w:b w:val="0"/>
                <w:bCs w:val="0"/>
                <w:color w:val="auto"/>
                <w:kern w:val="0"/>
                <w:sz w:val="21"/>
                <w:szCs w:val="21"/>
                <w:highlight w:val="none"/>
                <w:lang w:val="en-US"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50" w:hRule="atLeast"/>
        </w:trPr>
        <w:tc>
          <w:tcPr>
            <w:tcW w:w="1308" w:type="dxa"/>
            <w:tcBorders>
              <w:tl2br w:val="nil"/>
              <w:tr2bl w:val="nil"/>
            </w:tcBorders>
            <w:noWrap w:val="0"/>
            <w:vAlign w:val="top"/>
          </w:tcPr>
          <w:p>
            <w:pPr>
              <w:widowControl/>
              <w:spacing w:line="300" w:lineRule="exact"/>
              <w:jc w:val="center"/>
              <w:textAlignment w:val="top"/>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C06193B020</w:t>
            </w:r>
          </w:p>
        </w:tc>
        <w:tc>
          <w:tcPr>
            <w:tcW w:w="1669"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2802"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1413" w:type="dxa"/>
            <w:tcBorders>
              <w:tl2br w:val="nil"/>
              <w:tr2bl w:val="nil"/>
            </w:tcBorders>
            <w:noWrap w:val="0"/>
            <w:vAlign w:val="top"/>
          </w:tcPr>
          <w:p>
            <w:pPr>
              <w:widowControl/>
              <w:spacing w:line="300" w:lineRule="exact"/>
              <w:jc w:val="left"/>
              <w:textAlignment w:val="top"/>
              <w:rPr>
                <w:rFonts w:hint="default" w:ascii="宋体" w:hAnsi="宋体" w:eastAsia="宋体" w:cs="宋体"/>
                <w:b w:val="0"/>
                <w:bCs w:val="0"/>
                <w:color w:val="auto"/>
                <w:kern w:val="0"/>
                <w:sz w:val="21"/>
                <w:szCs w:val="21"/>
                <w:highlight w:val="none"/>
                <w:lang w:val="en-US"/>
              </w:rPr>
            </w:pPr>
            <w:r>
              <w:rPr>
                <w:rFonts w:hint="eastAsia" w:ascii="宋体" w:hAnsi="宋体" w:cs="宋体"/>
                <w:b w:val="0"/>
                <w:bCs w:val="0"/>
                <w:color w:val="auto"/>
                <w:kern w:val="0"/>
                <w:sz w:val="21"/>
                <w:szCs w:val="21"/>
                <w:highlight w:val="none"/>
                <w:lang w:val="en-US" w:eastAsia="zh-CN"/>
              </w:rPr>
              <w:t>实施违法行为造成一定后果</w:t>
            </w: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给予警告，并处</w:t>
            </w:r>
            <w:r>
              <w:rPr>
                <w:rFonts w:hint="eastAsia" w:ascii="宋体" w:hAnsi="宋体" w:eastAsia="宋体" w:cs="宋体"/>
                <w:b w:val="0"/>
                <w:bCs w:val="0"/>
                <w:color w:val="auto"/>
                <w:kern w:val="0"/>
                <w:sz w:val="21"/>
                <w:szCs w:val="21"/>
                <w:highlight w:val="none"/>
                <w:lang w:val="en-US" w:eastAsia="zh-CN"/>
              </w:rPr>
              <w:t>3万元以上5万元以下罚款。</w:t>
            </w:r>
          </w:p>
          <w:p>
            <w:pPr>
              <w:widowControl/>
              <w:spacing w:line="300" w:lineRule="exact"/>
              <w:jc w:val="left"/>
              <w:textAlignment w:val="top"/>
              <w:rPr>
                <w:rFonts w:hint="eastAsia" w:ascii="宋体" w:hAnsi="宋体" w:eastAsia="宋体" w:cs="宋体"/>
                <w:b w:val="0"/>
                <w:bCs w:val="0"/>
                <w:color w:val="auto"/>
                <w:kern w:val="0"/>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96" w:hRule="atLeast"/>
        </w:trPr>
        <w:tc>
          <w:tcPr>
            <w:tcW w:w="1308" w:type="dxa"/>
            <w:tcBorders>
              <w:tl2br w:val="nil"/>
              <w:tr2bl w:val="nil"/>
            </w:tcBorders>
            <w:noWrap w:val="0"/>
            <w:vAlign w:val="top"/>
          </w:tcPr>
          <w:p>
            <w:pPr>
              <w:widowControl/>
              <w:spacing w:line="300" w:lineRule="exact"/>
              <w:jc w:val="center"/>
              <w:textAlignment w:val="top"/>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C06193B030</w:t>
            </w:r>
          </w:p>
        </w:tc>
        <w:tc>
          <w:tcPr>
            <w:tcW w:w="1669"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2802"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1413" w:type="dxa"/>
            <w:tcBorders>
              <w:tl2br w:val="nil"/>
              <w:tr2bl w:val="nil"/>
            </w:tcBorders>
            <w:noWrap w:val="0"/>
            <w:vAlign w:val="top"/>
          </w:tcPr>
          <w:p>
            <w:pPr>
              <w:widowControl/>
              <w:spacing w:line="300" w:lineRule="exact"/>
              <w:jc w:val="left"/>
              <w:textAlignment w:val="top"/>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实施违法行为造成严重后果</w:t>
            </w: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责令停业整顿</w:t>
            </w: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eastAsia="zh-CN"/>
              </w:rPr>
              <w:t>个月至</w:t>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eastAsia="zh-CN"/>
              </w:rPr>
              <w:t>个月</w:t>
            </w: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75" w:hRule="atLeast"/>
        </w:trPr>
        <w:tc>
          <w:tcPr>
            <w:tcW w:w="1308" w:type="dxa"/>
            <w:tcBorders>
              <w:tl2br w:val="nil"/>
              <w:tr2bl w:val="nil"/>
            </w:tcBorders>
            <w:noWrap w:val="0"/>
            <w:vAlign w:val="top"/>
          </w:tcPr>
          <w:p>
            <w:pPr>
              <w:widowControl/>
              <w:spacing w:line="300" w:lineRule="exact"/>
              <w:jc w:val="center"/>
              <w:textAlignment w:val="top"/>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C06196C000</w:t>
            </w:r>
          </w:p>
        </w:tc>
        <w:tc>
          <w:tcPr>
            <w:tcW w:w="1669"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有关单位</w:t>
            </w:r>
            <w:r>
              <w:rPr>
                <w:rFonts w:hint="eastAsia" w:ascii="宋体" w:hAnsi="宋体" w:eastAsia="宋体" w:cs="宋体"/>
                <w:b w:val="0"/>
                <w:bCs w:val="0"/>
                <w:color w:val="auto"/>
                <w:kern w:val="0"/>
                <w:sz w:val="21"/>
                <w:szCs w:val="21"/>
                <w:highlight w:val="none"/>
              </w:rPr>
              <w:t>未建立驾驶人员、教练员涉毒筛查制度</w:t>
            </w:r>
            <w:r>
              <w:rPr>
                <w:rFonts w:hint="eastAsia" w:ascii="宋体" w:hAnsi="宋体" w:eastAsia="宋体" w:cs="宋体"/>
                <w:b w:val="0"/>
                <w:bCs w:val="0"/>
                <w:color w:val="auto"/>
                <w:kern w:val="0"/>
                <w:sz w:val="21"/>
                <w:szCs w:val="21"/>
                <w:highlight w:val="none"/>
                <w:lang w:eastAsia="zh-CN"/>
              </w:rPr>
              <w:t>。</w:t>
            </w: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tc>
        <w:tc>
          <w:tcPr>
            <w:tcW w:w="2802"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第四十九条</w:t>
            </w:r>
            <w:r>
              <w:rPr>
                <w:rFonts w:hint="eastAsia" w:ascii="宋体" w:hAnsi="宋体" w:cs="宋体"/>
                <w:b w:val="0"/>
                <w:bCs w:val="0"/>
                <w:color w:val="auto"/>
                <w:kern w:val="0"/>
                <w:sz w:val="21"/>
                <w:szCs w:val="21"/>
                <w:highlight w:val="none"/>
                <w:lang w:val="en-US" w:eastAsia="zh-CN"/>
              </w:rPr>
              <w:t xml:space="preserve">  </w:t>
            </w:r>
            <w:r>
              <w:rPr>
                <w:rFonts w:hint="eastAsia" w:ascii="宋体" w:hAnsi="宋体" w:eastAsia="宋体" w:cs="宋体"/>
                <w:b w:val="0"/>
                <w:bCs w:val="0"/>
                <w:color w:val="auto"/>
                <w:kern w:val="0"/>
                <w:sz w:val="21"/>
                <w:szCs w:val="21"/>
                <w:highlight w:val="none"/>
              </w:rPr>
              <w:t>违反本条例第二十七条规定，有关单位未建立驾驶人员、教练员涉毒筛查制度的，由公安机关责令改正，给予警告</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发现驾驶人员、教练员有吸食、注射毒品行为未采取停止驾驶措施并向相关部门报告的，由公安机关给予警告，并处</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万元以上</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万元以下罚款，情节严重的，责令停业整顿</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个月至</w:t>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个月</w:t>
            </w:r>
            <w:r>
              <w:rPr>
                <w:rFonts w:hint="eastAsia" w:ascii="宋体" w:hAnsi="宋体" w:eastAsia="宋体" w:cs="宋体"/>
                <w:b w:val="0"/>
                <w:bCs w:val="0"/>
                <w:color w:val="auto"/>
                <w:kern w:val="0"/>
                <w:sz w:val="21"/>
                <w:szCs w:val="21"/>
                <w:highlight w:val="none"/>
                <w:lang w:eastAsia="zh-CN"/>
              </w:rPr>
              <w:t>。</w:t>
            </w:r>
          </w:p>
        </w:tc>
        <w:tc>
          <w:tcPr>
            <w:tcW w:w="1413"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不需分阶</w:t>
            </w: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责令改正，给予警告。</w:t>
            </w: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41" w:hRule="atLeast"/>
        </w:trPr>
        <w:tc>
          <w:tcPr>
            <w:tcW w:w="1308" w:type="dxa"/>
            <w:tcBorders>
              <w:tl2br w:val="nil"/>
              <w:tr2bl w:val="nil"/>
            </w:tcBorders>
            <w:noWrap w:val="0"/>
            <w:vAlign w:val="top"/>
          </w:tcPr>
          <w:p>
            <w:pPr>
              <w:widowControl/>
              <w:spacing w:line="300" w:lineRule="exact"/>
              <w:jc w:val="center"/>
              <w:textAlignment w:val="top"/>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C06195B010</w:t>
            </w:r>
          </w:p>
        </w:tc>
        <w:tc>
          <w:tcPr>
            <w:tcW w:w="1669" w:type="dxa"/>
            <w:vMerge w:val="restart"/>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有关单位</w:t>
            </w:r>
            <w:r>
              <w:rPr>
                <w:rFonts w:hint="eastAsia" w:ascii="宋体" w:hAnsi="宋体" w:eastAsia="宋体" w:cs="宋体"/>
                <w:b w:val="0"/>
                <w:bCs w:val="0"/>
                <w:color w:val="auto"/>
                <w:kern w:val="0"/>
                <w:sz w:val="21"/>
                <w:szCs w:val="21"/>
                <w:highlight w:val="none"/>
              </w:rPr>
              <w:t>发现驾驶人员、教练员有吸食、注射毒品行为未采取</w:t>
            </w:r>
            <w:r>
              <w:rPr>
                <w:rFonts w:hint="eastAsia" w:ascii="宋体" w:hAnsi="宋体" w:eastAsia="宋体" w:cs="宋体"/>
                <w:b w:val="0"/>
                <w:bCs w:val="0"/>
                <w:color w:val="auto"/>
                <w:kern w:val="0"/>
                <w:sz w:val="21"/>
                <w:szCs w:val="21"/>
                <w:highlight w:val="none"/>
                <w:lang w:eastAsia="zh-CN"/>
              </w:rPr>
              <w:t>停止驾驶</w:t>
            </w:r>
            <w:r>
              <w:rPr>
                <w:rFonts w:hint="eastAsia" w:ascii="宋体" w:hAnsi="宋体" w:eastAsia="宋体" w:cs="宋体"/>
                <w:b w:val="0"/>
                <w:bCs w:val="0"/>
                <w:color w:val="auto"/>
                <w:kern w:val="0"/>
                <w:sz w:val="21"/>
                <w:szCs w:val="21"/>
                <w:highlight w:val="none"/>
              </w:rPr>
              <w:t>措施并向相关部门报告</w:t>
            </w:r>
            <w:r>
              <w:rPr>
                <w:rFonts w:hint="eastAsia" w:ascii="宋体" w:hAnsi="宋体" w:eastAsia="宋体" w:cs="宋体"/>
                <w:b w:val="0"/>
                <w:bCs w:val="0"/>
                <w:color w:val="auto"/>
                <w:kern w:val="0"/>
                <w:sz w:val="21"/>
                <w:szCs w:val="21"/>
                <w:highlight w:val="none"/>
                <w:lang w:eastAsia="zh-CN"/>
              </w:rPr>
              <w:t>。</w:t>
            </w:r>
          </w:p>
        </w:tc>
        <w:tc>
          <w:tcPr>
            <w:tcW w:w="2802"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1413"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初次违法，</w:t>
            </w:r>
            <w:r>
              <w:rPr>
                <w:rFonts w:hint="eastAsia" w:ascii="宋体" w:hAnsi="宋体" w:cs="宋体"/>
                <w:b w:val="0"/>
                <w:bCs w:val="0"/>
                <w:color w:val="auto"/>
                <w:kern w:val="0"/>
                <w:sz w:val="21"/>
                <w:szCs w:val="21"/>
                <w:highlight w:val="none"/>
                <w:lang w:val="en-US" w:eastAsia="zh-CN"/>
              </w:rPr>
              <w:t>尚</w:t>
            </w:r>
            <w:r>
              <w:rPr>
                <w:rFonts w:hint="eastAsia" w:ascii="宋体" w:hAnsi="宋体" w:eastAsia="宋体" w:cs="宋体"/>
                <w:b w:val="0"/>
                <w:bCs w:val="0"/>
                <w:color w:val="auto"/>
                <w:kern w:val="0"/>
                <w:sz w:val="21"/>
                <w:szCs w:val="21"/>
                <w:highlight w:val="none"/>
                <w:lang w:eastAsia="zh-CN"/>
              </w:rPr>
              <w:t>未造成后果的。</w:t>
            </w: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给予警告，并处</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万元以上</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eastAsia="zh-CN"/>
              </w:rPr>
              <w:t>万元以下罚款。</w:t>
            </w: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40" w:hRule="atLeast"/>
        </w:trPr>
        <w:tc>
          <w:tcPr>
            <w:tcW w:w="1308" w:type="dxa"/>
            <w:tcBorders>
              <w:tl2br w:val="nil"/>
              <w:tr2bl w:val="nil"/>
            </w:tcBorders>
            <w:noWrap w:val="0"/>
            <w:vAlign w:val="top"/>
          </w:tcPr>
          <w:p>
            <w:pPr>
              <w:widowControl/>
              <w:spacing w:line="300" w:lineRule="exact"/>
              <w:jc w:val="center"/>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rPr>
              <w:t>C06195B020</w:t>
            </w:r>
          </w:p>
        </w:tc>
        <w:tc>
          <w:tcPr>
            <w:tcW w:w="1669"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2802"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1413"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rPr>
              <w:t>实施违法行为造成一定后果</w:t>
            </w: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给予警告，并处</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eastAsia="zh-CN"/>
              </w:rPr>
              <w:t>万元以上</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eastAsia="zh-CN"/>
              </w:rPr>
              <w:t>万元以下罚款。</w:t>
            </w: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46" w:hRule="atLeast"/>
        </w:trPr>
        <w:tc>
          <w:tcPr>
            <w:tcW w:w="1308" w:type="dxa"/>
            <w:tcBorders>
              <w:tl2br w:val="nil"/>
              <w:tr2bl w:val="nil"/>
            </w:tcBorders>
            <w:noWrap w:val="0"/>
            <w:vAlign w:val="top"/>
          </w:tcPr>
          <w:p>
            <w:pPr>
              <w:widowControl/>
              <w:spacing w:line="300" w:lineRule="exact"/>
              <w:jc w:val="center"/>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rPr>
              <w:t>C06195B030</w:t>
            </w:r>
          </w:p>
        </w:tc>
        <w:tc>
          <w:tcPr>
            <w:tcW w:w="1669"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2802" w:type="dxa"/>
            <w:vMerge w:val="continue"/>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p>
        </w:tc>
        <w:tc>
          <w:tcPr>
            <w:tcW w:w="1413"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rPr>
              <w:t>实施违法行为造成严重后果</w:t>
            </w:r>
          </w:p>
        </w:tc>
        <w:tc>
          <w:tcPr>
            <w:tcW w:w="1605" w:type="dxa"/>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责令停业整顿</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个月至</w:t>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个月</w:t>
            </w: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p>
            <w:pPr>
              <w:widowControl/>
              <w:spacing w:line="300" w:lineRule="exact"/>
              <w:jc w:val="left"/>
              <w:textAlignment w:val="top"/>
              <w:rPr>
                <w:rFonts w:hint="eastAsia" w:ascii="宋体" w:hAnsi="宋体" w:eastAsia="宋体" w:cs="宋体"/>
                <w:b w:val="0"/>
                <w:bCs w:val="0"/>
                <w:color w:val="auto"/>
                <w:kern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7" w:hRule="atLeast"/>
        </w:trPr>
        <w:tc>
          <w:tcPr>
            <w:tcW w:w="8797" w:type="dxa"/>
            <w:gridSpan w:val="5"/>
            <w:tcBorders>
              <w:tl2br w:val="nil"/>
              <w:tr2bl w:val="nil"/>
            </w:tcBorders>
            <w:noWrap w:val="0"/>
            <w:vAlign w:val="top"/>
          </w:tcPr>
          <w:p>
            <w:pPr>
              <w:widowControl/>
              <w:spacing w:line="300" w:lineRule="exact"/>
              <w:jc w:val="left"/>
              <w:textAlignment w:val="top"/>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kern w:val="0"/>
                <w:szCs w:val="21"/>
                <w:highlight w:val="none"/>
              </w:rPr>
              <w:t>注：本“标准”中的“少量”为刑事立案标准的1/5以下；“数量较大”为刑事立案标准的1/5及以上1/2以下；“数量大”为刑事立案标准的1/2及以上；“多次”为三次及以上。</w:t>
            </w:r>
          </w:p>
        </w:tc>
      </w:tr>
    </w:tbl>
    <w:p>
      <w:pPr>
        <w:keepNext w:val="0"/>
        <w:keepLines w:val="0"/>
        <w:pageBreakBefore w:val="0"/>
        <w:widowControl w:val="0"/>
        <w:tabs>
          <w:tab w:val="left" w:pos="6612"/>
        </w:tabs>
        <w:kinsoku/>
        <w:wordWrap/>
        <w:overflowPunct/>
        <w:topLinePunct w:val="0"/>
        <w:autoSpaceDE/>
        <w:autoSpaceDN/>
        <w:bidi w:val="0"/>
        <w:adjustRightInd/>
        <w:snapToGrid/>
        <w:spacing w:line="20" w:lineRule="exact"/>
        <w:jc w:val="left"/>
        <w:textAlignment w:val="auto"/>
        <w:rPr>
          <w:rFonts w:hint="eastAsia"/>
          <w:lang w:val="en-US" w:eastAsia="zh-CN"/>
        </w:rPr>
      </w:pPr>
    </w:p>
    <w:sectPr>
      <w:footerReference r:id="rId3" w:type="default"/>
      <w:pgSz w:w="11906" w:h="16838"/>
      <w:pgMar w:top="1814" w:right="1474" w:bottom="175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Times New Roman"/>
      </w:rPr>
    </w:pPr>
    <w:r>
      <w:fldChar w:fldCharType="begin"/>
    </w:r>
    <w:r>
      <w:instrText xml:space="preserve"> PAGE   \* MERGEFORMAT </w:instrText>
    </w:r>
    <w:r>
      <w:fldChar w:fldCharType="separate"/>
    </w:r>
    <w:r>
      <w:rPr>
        <w:lang w:val="zh-CN"/>
      </w:rPr>
      <w:t>11</w:t>
    </w:r>
    <w: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A0069"/>
    <w:multiLevelType w:val="singleLevel"/>
    <w:tmpl w:val="635A0069"/>
    <w:lvl w:ilvl="0" w:tentative="0">
      <w:start w:val="1"/>
      <w:numFmt w:val="decimal"/>
      <w:suff w:val="nothing"/>
      <w:lvlText w:val="%1、"/>
      <w:lvlJc w:val="left"/>
    </w:lvl>
  </w:abstractNum>
  <w:abstractNum w:abstractNumId="1">
    <w:nsid w:val="635A0079"/>
    <w:multiLevelType w:val="singleLevel"/>
    <w:tmpl w:val="635A0079"/>
    <w:lvl w:ilvl="0" w:tentative="0">
      <w:start w:val="1"/>
      <w:numFmt w:val="decimal"/>
      <w:suff w:val="nothing"/>
      <w:lvlText w:val="%1、"/>
      <w:lvlJc w:val="left"/>
    </w:lvl>
  </w:abstractNum>
  <w:abstractNum w:abstractNumId="2">
    <w:nsid w:val="63919A8E"/>
    <w:multiLevelType w:val="singleLevel"/>
    <w:tmpl w:val="63919A8E"/>
    <w:lvl w:ilvl="0" w:tentative="0">
      <w:start w:val="1"/>
      <w:numFmt w:val="decimal"/>
      <w:suff w:val="nothing"/>
      <w:lvlText w:val="%1、"/>
      <w:lvlJc w:val="left"/>
    </w:lvl>
  </w:abstractNum>
  <w:abstractNum w:abstractNumId="3">
    <w:nsid w:val="6391A21F"/>
    <w:multiLevelType w:val="singleLevel"/>
    <w:tmpl w:val="6391A21F"/>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8C"/>
    <w:rsid w:val="00004ABA"/>
    <w:rsid w:val="00015D4D"/>
    <w:rsid w:val="00023242"/>
    <w:rsid w:val="00036E59"/>
    <w:rsid w:val="00060F85"/>
    <w:rsid w:val="00083663"/>
    <w:rsid w:val="000C0032"/>
    <w:rsid w:val="000C57B2"/>
    <w:rsid w:val="000C7BF9"/>
    <w:rsid w:val="000D55E8"/>
    <w:rsid w:val="000D7B35"/>
    <w:rsid w:val="001136C7"/>
    <w:rsid w:val="0012400E"/>
    <w:rsid w:val="00140FDB"/>
    <w:rsid w:val="00152EE3"/>
    <w:rsid w:val="00182D12"/>
    <w:rsid w:val="001853D0"/>
    <w:rsid w:val="001B34C2"/>
    <w:rsid w:val="001B360F"/>
    <w:rsid w:val="001B69A5"/>
    <w:rsid w:val="001D31DE"/>
    <w:rsid w:val="001E714D"/>
    <w:rsid w:val="001F310F"/>
    <w:rsid w:val="00203B8D"/>
    <w:rsid w:val="00222B4A"/>
    <w:rsid w:val="00240C28"/>
    <w:rsid w:val="002454E7"/>
    <w:rsid w:val="00254250"/>
    <w:rsid w:val="0029407A"/>
    <w:rsid w:val="002B0D60"/>
    <w:rsid w:val="002B6B29"/>
    <w:rsid w:val="002B7449"/>
    <w:rsid w:val="002C0417"/>
    <w:rsid w:val="002D026C"/>
    <w:rsid w:val="002D2A49"/>
    <w:rsid w:val="002D3BF0"/>
    <w:rsid w:val="002F748C"/>
    <w:rsid w:val="00311918"/>
    <w:rsid w:val="0037140C"/>
    <w:rsid w:val="0038314B"/>
    <w:rsid w:val="003963E2"/>
    <w:rsid w:val="003A1FE1"/>
    <w:rsid w:val="003C5B9F"/>
    <w:rsid w:val="003D7C07"/>
    <w:rsid w:val="00401B16"/>
    <w:rsid w:val="00405D28"/>
    <w:rsid w:val="00415344"/>
    <w:rsid w:val="004461FF"/>
    <w:rsid w:val="00462C8A"/>
    <w:rsid w:val="004C6464"/>
    <w:rsid w:val="004E566B"/>
    <w:rsid w:val="004F61C4"/>
    <w:rsid w:val="005042FB"/>
    <w:rsid w:val="00517A92"/>
    <w:rsid w:val="00525CD4"/>
    <w:rsid w:val="00533038"/>
    <w:rsid w:val="0055334D"/>
    <w:rsid w:val="0056673D"/>
    <w:rsid w:val="00593B76"/>
    <w:rsid w:val="00594909"/>
    <w:rsid w:val="005C3A96"/>
    <w:rsid w:val="005C5C72"/>
    <w:rsid w:val="005C74FB"/>
    <w:rsid w:val="005E7BAD"/>
    <w:rsid w:val="006000DB"/>
    <w:rsid w:val="0060274E"/>
    <w:rsid w:val="00611E0F"/>
    <w:rsid w:val="006343B5"/>
    <w:rsid w:val="00645115"/>
    <w:rsid w:val="00670758"/>
    <w:rsid w:val="006749AA"/>
    <w:rsid w:val="00682919"/>
    <w:rsid w:val="00692C7B"/>
    <w:rsid w:val="006B1E53"/>
    <w:rsid w:val="006B20E4"/>
    <w:rsid w:val="006C08D9"/>
    <w:rsid w:val="006F1101"/>
    <w:rsid w:val="00713D52"/>
    <w:rsid w:val="007207EF"/>
    <w:rsid w:val="00747DA9"/>
    <w:rsid w:val="00747F5D"/>
    <w:rsid w:val="007626D9"/>
    <w:rsid w:val="00766AE3"/>
    <w:rsid w:val="007A67BE"/>
    <w:rsid w:val="007B0167"/>
    <w:rsid w:val="007B2B6D"/>
    <w:rsid w:val="007B771D"/>
    <w:rsid w:val="007D2F5E"/>
    <w:rsid w:val="007E7FDC"/>
    <w:rsid w:val="007F7CCE"/>
    <w:rsid w:val="00824793"/>
    <w:rsid w:val="00825739"/>
    <w:rsid w:val="00834805"/>
    <w:rsid w:val="00843A79"/>
    <w:rsid w:val="00877C20"/>
    <w:rsid w:val="008A17AA"/>
    <w:rsid w:val="008B349B"/>
    <w:rsid w:val="008D5E35"/>
    <w:rsid w:val="00917BE1"/>
    <w:rsid w:val="00936683"/>
    <w:rsid w:val="0094017A"/>
    <w:rsid w:val="009406CC"/>
    <w:rsid w:val="009712B7"/>
    <w:rsid w:val="009B4221"/>
    <w:rsid w:val="00A0115E"/>
    <w:rsid w:val="00A06273"/>
    <w:rsid w:val="00A062FB"/>
    <w:rsid w:val="00A16A87"/>
    <w:rsid w:val="00A20270"/>
    <w:rsid w:val="00A2781E"/>
    <w:rsid w:val="00A518E0"/>
    <w:rsid w:val="00A522BD"/>
    <w:rsid w:val="00A539AC"/>
    <w:rsid w:val="00AB0438"/>
    <w:rsid w:val="00AC508D"/>
    <w:rsid w:val="00AE3BAE"/>
    <w:rsid w:val="00B040B4"/>
    <w:rsid w:val="00B269C9"/>
    <w:rsid w:val="00B27ED5"/>
    <w:rsid w:val="00B5253C"/>
    <w:rsid w:val="00B57FF6"/>
    <w:rsid w:val="00B63882"/>
    <w:rsid w:val="00B77272"/>
    <w:rsid w:val="00BA4FAB"/>
    <w:rsid w:val="00BA7E8A"/>
    <w:rsid w:val="00BB2A98"/>
    <w:rsid w:val="00BC3121"/>
    <w:rsid w:val="00BC42D7"/>
    <w:rsid w:val="00C00FA6"/>
    <w:rsid w:val="00C024EE"/>
    <w:rsid w:val="00C10C4D"/>
    <w:rsid w:val="00C10E23"/>
    <w:rsid w:val="00C4369C"/>
    <w:rsid w:val="00C9199D"/>
    <w:rsid w:val="00CA73DB"/>
    <w:rsid w:val="00CB24FF"/>
    <w:rsid w:val="00CB7FA7"/>
    <w:rsid w:val="00CC3B72"/>
    <w:rsid w:val="00CC4313"/>
    <w:rsid w:val="00CE2A6F"/>
    <w:rsid w:val="00D03505"/>
    <w:rsid w:val="00D11F4B"/>
    <w:rsid w:val="00D124E1"/>
    <w:rsid w:val="00D13062"/>
    <w:rsid w:val="00D173BB"/>
    <w:rsid w:val="00D357D0"/>
    <w:rsid w:val="00D566F6"/>
    <w:rsid w:val="00D71A2D"/>
    <w:rsid w:val="00D9228C"/>
    <w:rsid w:val="00D97215"/>
    <w:rsid w:val="00DC3CB0"/>
    <w:rsid w:val="00DE0967"/>
    <w:rsid w:val="00DF2CE1"/>
    <w:rsid w:val="00E04BA7"/>
    <w:rsid w:val="00E2583D"/>
    <w:rsid w:val="00E82313"/>
    <w:rsid w:val="00EA5BC3"/>
    <w:rsid w:val="00EE3A9E"/>
    <w:rsid w:val="00F032A6"/>
    <w:rsid w:val="00F07DBC"/>
    <w:rsid w:val="00F531B8"/>
    <w:rsid w:val="00F75F08"/>
    <w:rsid w:val="00F76B94"/>
    <w:rsid w:val="00FA0D61"/>
    <w:rsid w:val="00FC3AB9"/>
    <w:rsid w:val="00FD7FC8"/>
    <w:rsid w:val="00FE2E66"/>
    <w:rsid w:val="00FE4E67"/>
    <w:rsid w:val="00FE5D8E"/>
    <w:rsid w:val="026D0122"/>
    <w:rsid w:val="03417435"/>
    <w:rsid w:val="03F12007"/>
    <w:rsid w:val="04B851D9"/>
    <w:rsid w:val="054C1D3F"/>
    <w:rsid w:val="05E646B4"/>
    <w:rsid w:val="063246F6"/>
    <w:rsid w:val="06536386"/>
    <w:rsid w:val="085431AA"/>
    <w:rsid w:val="09B762A3"/>
    <w:rsid w:val="0B7A3899"/>
    <w:rsid w:val="0B9C0618"/>
    <w:rsid w:val="0CA313AA"/>
    <w:rsid w:val="0CD42DE1"/>
    <w:rsid w:val="0CF016EF"/>
    <w:rsid w:val="0DBD3102"/>
    <w:rsid w:val="0F25084E"/>
    <w:rsid w:val="0F28178E"/>
    <w:rsid w:val="0FDF204B"/>
    <w:rsid w:val="119D0584"/>
    <w:rsid w:val="119F54B3"/>
    <w:rsid w:val="122623D2"/>
    <w:rsid w:val="127C4F27"/>
    <w:rsid w:val="132F4817"/>
    <w:rsid w:val="16B47C15"/>
    <w:rsid w:val="180D0383"/>
    <w:rsid w:val="1B852827"/>
    <w:rsid w:val="1C9B30A0"/>
    <w:rsid w:val="1DC71E15"/>
    <w:rsid w:val="20E21540"/>
    <w:rsid w:val="2148739C"/>
    <w:rsid w:val="218E5748"/>
    <w:rsid w:val="21F34AE6"/>
    <w:rsid w:val="22200EC4"/>
    <w:rsid w:val="22F31D8F"/>
    <w:rsid w:val="2302663B"/>
    <w:rsid w:val="23570698"/>
    <w:rsid w:val="25A24D21"/>
    <w:rsid w:val="26AB4F33"/>
    <w:rsid w:val="26D46991"/>
    <w:rsid w:val="27064F2B"/>
    <w:rsid w:val="2711669C"/>
    <w:rsid w:val="299C5B1D"/>
    <w:rsid w:val="29A613E0"/>
    <w:rsid w:val="2B0C22F4"/>
    <w:rsid w:val="2C8E2316"/>
    <w:rsid w:val="308E1F8E"/>
    <w:rsid w:val="30E256BB"/>
    <w:rsid w:val="319A46E2"/>
    <w:rsid w:val="325B3F60"/>
    <w:rsid w:val="327E7A0D"/>
    <w:rsid w:val="334A7F8A"/>
    <w:rsid w:val="342D1055"/>
    <w:rsid w:val="34933001"/>
    <w:rsid w:val="35845150"/>
    <w:rsid w:val="372D70BC"/>
    <w:rsid w:val="386D7216"/>
    <w:rsid w:val="38942A9B"/>
    <w:rsid w:val="3B0B5D96"/>
    <w:rsid w:val="3B996AC0"/>
    <w:rsid w:val="3BA435FB"/>
    <w:rsid w:val="3C6C77FD"/>
    <w:rsid w:val="3CEE4465"/>
    <w:rsid w:val="3F191EDF"/>
    <w:rsid w:val="43140927"/>
    <w:rsid w:val="45604212"/>
    <w:rsid w:val="471D1F4F"/>
    <w:rsid w:val="486E3F83"/>
    <w:rsid w:val="498D0BA3"/>
    <w:rsid w:val="499522EA"/>
    <w:rsid w:val="4B0751F7"/>
    <w:rsid w:val="4E156B2F"/>
    <w:rsid w:val="4E304E80"/>
    <w:rsid w:val="4E791702"/>
    <w:rsid w:val="4F436E79"/>
    <w:rsid w:val="508D32AD"/>
    <w:rsid w:val="51346C99"/>
    <w:rsid w:val="53FE5126"/>
    <w:rsid w:val="562E2845"/>
    <w:rsid w:val="56FB5238"/>
    <w:rsid w:val="570A5919"/>
    <w:rsid w:val="5823293D"/>
    <w:rsid w:val="58D24B73"/>
    <w:rsid w:val="5939728C"/>
    <w:rsid w:val="59F70616"/>
    <w:rsid w:val="5A8C6723"/>
    <w:rsid w:val="5E2C123F"/>
    <w:rsid w:val="5FEB048A"/>
    <w:rsid w:val="61E13DF0"/>
    <w:rsid w:val="62857BEF"/>
    <w:rsid w:val="62C90CC3"/>
    <w:rsid w:val="62FD1C4E"/>
    <w:rsid w:val="649876A4"/>
    <w:rsid w:val="65A13C6F"/>
    <w:rsid w:val="66DC13DA"/>
    <w:rsid w:val="6701105B"/>
    <w:rsid w:val="691E5800"/>
    <w:rsid w:val="69667484"/>
    <w:rsid w:val="6A3D3521"/>
    <w:rsid w:val="6B157F2B"/>
    <w:rsid w:val="6C4D3176"/>
    <w:rsid w:val="6DED4EDB"/>
    <w:rsid w:val="6E3F6730"/>
    <w:rsid w:val="6E6B7EF4"/>
    <w:rsid w:val="6EC75B0A"/>
    <w:rsid w:val="71445273"/>
    <w:rsid w:val="74BC2452"/>
    <w:rsid w:val="77307C79"/>
    <w:rsid w:val="79250D0D"/>
    <w:rsid w:val="7C476B43"/>
    <w:rsid w:val="7D532E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3"/>
    <w:basedOn w:val="1"/>
    <w:next w:val="1"/>
    <w:link w:val="11"/>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unhideWhenUsed/>
    <w:qFormat/>
    <w:uiPriority w:val="0"/>
    <w:pPr>
      <w:ind w:firstLine="420" w:firstLineChars="200"/>
    </w:pPr>
    <w:rPr>
      <w:rFonts w:ascii="Times New Roman" w:hAnsi="Times New Roman" w:eastAsia="仿宋_GB2312"/>
      <w:sz w:val="3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semiHidden/>
    <w:unhideWhenUsed/>
    <w:qFormat/>
    <w:uiPriority w:val="99"/>
    <w:rPr>
      <w:color w:val="0000FF"/>
      <w:u w:val="single"/>
    </w:rPr>
  </w:style>
  <w:style w:type="paragraph" w:customStyle="1" w:styleId="10">
    <w:name w:val="List Paragraph"/>
    <w:basedOn w:val="1"/>
    <w:qFormat/>
    <w:uiPriority w:val="99"/>
    <w:pPr>
      <w:ind w:firstLine="420" w:firstLineChars="200"/>
    </w:pPr>
  </w:style>
  <w:style w:type="character" w:customStyle="1" w:styleId="11">
    <w:name w:val="标题 3 Char"/>
    <w:basedOn w:val="8"/>
    <w:link w:val="3"/>
    <w:qFormat/>
    <w:locked/>
    <w:uiPriority w:val="99"/>
    <w:rPr>
      <w:rFonts w:ascii="Times New Roman" w:hAnsi="Times New Roman" w:eastAsia="宋体" w:cs="Times New Roman"/>
      <w:b/>
      <w:bCs/>
      <w:sz w:val="32"/>
      <w:szCs w:val="32"/>
    </w:rPr>
  </w:style>
  <w:style w:type="character" w:customStyle="1" w:styleId="12">
    <w:name w:val="页眉 Char"/>
    <w:basedOn w:val="8"/>
    <w:link w:val="6"/>
    <w:semiHidden/>
    <w:qFormat/>
    <w:locked/>
    <w:uiPriority w:val="99"/>
    <w:rPr>
      <w:rFonts w:ascii="Calibri" w:hAnsi="Calibri" w:eastAsia="宋体" w:cs="Calibri"/>
      <w:sz w:val="18"/>
      <w:szCs w:val="18"/>
    </w:rPr>
  </w:style>
  <w:style w:type="character" w:customStyle="1" w:styleId="13">
    <w:name w:val="页脚 Char"/>
    <w:basedOn w:val="8"/>
    <w:link w:val="5"/>
    <w:qFormat/>
    <w:locked/>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837</Words>
  <Characters>4772</Characters>
  <Lines>39</Lines>
  <Paragraphs>11</Paragraphs>
  <TotalTime>3</TotalTime>
  <ScaleCrop>false</ScaleCrop>
  <LinksUpToDate>false</LinksUpToDate>
  <CharactersWithSpaces>5598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2016-10-31T08:01:00Z</dcterms:created>
  <dc:creator>dyh</dc:creator>
  <cp:lastModifiedBy>Administrator</cp:lastModifiedBy>
  <cp:lastPrinted>2025-08-11T09:10:00Z</cp:lastPrinted>
  <dcterms:modified xsi:type="dcterms:W3CDTF">2025-09-16T07:19:28Z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