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jc w:val="center"/>
        <w:textAlignment w:val="auto"/>
        <w:outlineLvl w:val="9"/>
        <w:rPr>
          <w:rFonts w:hint="eastAsia" w:ascii="方正小标宋简体" w:hAnsi="方正小标宋简体" w:eastAsia="方正小标宋简体" w:cs="方正小标宋简体"/>
          <w:b w:val="0"/>
          <w:bCs/>
          <w:sz w:val="44"/>
          <w:szCs w:val="44"/>
        </w:rPr>
      </w:pPr>
      <w:r>
        <w:rPr>
          <w:rFonts w:hint="eastAsia" w:ascii="方正小标宋简体" w:hAnsi="方正小标宋简体" w:eastAsia="方正小标宋简体" w:cs="方正小标宋简体"/>
          <w:b w:val="0"/>
          <w:bCs/>
          <w:sz w:val="44"/>
          <w:szCs w:val="44"/>
        </w:rPr>
        <w:t>北京市公安局顺义分局</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jc w:val="center"/>
        <w:textAlignment w:val="auto"/>
        <w:outlineLvl w:val="9"/>
        <w:rPr>
          <w:rFonts w:hint="eastAsia" w:ascii="方正小标宋简体" w:hAnsi="方正小标宋简体" w:eastAsia="方正小标宋简体" w:cs="方正小标宋简体"/>
          <w:b w:val="0"/>
          <w:bCs/>
          <w:sz w:val="44"/>
          <w:szCs w:val="44"/>
        </w:rPr>
      </w:pPr>
      <w:r>
        <w:rPr>
          <w:rFonts w:hint="eastAsia" w:ascii="方正小标宋简体" w:hAnsi="方正小标宋简体" w:eastAsia="方正小标宋简体" w:cs="方正小标宋简体"/>
          <w:b w:val="0"/>
          <w:bCs/>
          <w:sz w:val="44"/>
          <w:szCs w:val="44"/>
        </w:rPr>
        <w:t>20</w:t>
      </w:r>
      <w:r>
        <w:rPr>
          <w:rFonts w:hint="eastAsia" w:ascii="方正小标宋简体" w:hAnsi="方正小标宋简体" w:eastAsia="方正小标宋简体" w:cs="方正小标宋简体"/>
          <w:b w:val="0"/>
          <w:bCs/>
          <w:sz w:val="44"/>
          <w:szCs w:val="44"/>
          <w:lang w:val="en-US" w:eastAsia="zh-CN"/>
        </w:rPr>
        <w:t>20</w:t>
      </w:r>
      <w:r>
        <w:rPr>
          <w:rFonts w:hint="eastAsia" w:ascii="方正小标宋简体" w:hAnsi="方正小标宋简体" w:eastAsia="方正小标宋简体" w:cs="方正小标宋简体"/>
          <w:b w:val="0"/>
          <w:bCs/>
          <w:sz w:val="44"/>
          <w:szCs w:val="44"/>
        </w:rPr>
        <w:t>年政府信息公开工作年度报告</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jc w:val="center"/>
        <w:textAlignment w:val="auto"/>
        <w:outlineLvl w:val="9"/>
        <w:rPr>
          <w:rFonts w:hint="eastAsia" w:ascii="方正小标宋简体" w:hAnsi="方正小标宋简体" w:eastAsia="方正小标宋简体" w:cs="方正小标宋简体"/>
          <w:b w:val="0"/>
          <w:bCs/>
          <w:sz w:val="44"/>
          <w:szCs w:val="44"/>
        </w:rPr>
      </w:pP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依据《中华人民共和国政府信息公开条例》第五十条之规定，制作本报告。</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27" w:firstLineChars="196"/>
        <w:textAlignment w:val="auto"/>
        <w:outlineLvl w:val="9"/>
        <w:rPr>
          <w:rFonts w:ascii="黑体" w:hAnsi="黑体" w:eastAsia="黑体"/>
          <w:b w:val="0"/>
          <w:bCs/>
          <w:sz w:val="32"/>
          <w:szCs w:val="32"/>
        </w:rPr>
      </w:pPr>
      <w:r>
        <w:rPr>
          <w:rFonts w:hint="eastAsia" w:ascii="黑体" w:hAnsi="黑体" w:eastAsia="黑体"/>
          <w:b w:val="0"/>
          <w:bCs/>
          <w:sz w:val="32"/>
          <w:szCs w:val="32"/>
        </w:rPr>
        <w:t>一、总体情况</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2020年，北京市公安局顺义分局坚持以习近平新时代中国特色社会主义思想为指导，认真落实国务院、市政府及市局关于政府信息公开工作的各项部署，贯彻执行《中华人民共和国政府信息公开条例》相关要求，结合公安工作实际，进一步强化服务意识，进一步提高了公安工作透明度，有效保障了公民的知情权，为全区公安工作发展创造了良好的环境。</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3" w:firstLineChars="200"/>
        <w:textAlignment w:val="auto"/>
        <w:outlineLvl w:val="9"/>
        <w:rPr>
          <w:rFonts w:ascii="楷体" w:hAnsi="楷体" w:eastAsia="楷体"/>
          <w:b/>
          <w:bCs/>
          <w:sz w:val="32"/>
          <w:szCs w:val="32"/>
        </w:rPr>
      </w:pPr>
      <w:r>
        <w:rPr>
          <w:rFonts w:hint="eastAsia" w:ascii="楷体" w:hAnsi="楷体" w:eastAsia="楷体"/>
          <w:b/>
          <w:bCs/>
          <w:sz w:val="32"/>
          <w:szCs w:val="32"/>
        </w:rPr>
        <w:t>（一）主动公开情况</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顺义分局坚持以人民需求为导向，进一步加大政府信息主动公开力度，充分发挥合力、积极开展宣传，取得了良好的社会效果。</w:t>
      </w:r>
      <w:r>
        <w:rPr>
          <w:rFonts w:hint="eastAsia" w:ascii="仿宋_GB2312" w:hAnsi="仿宋_GB2312" w:eastAsia="仿宋_GB2312" w:cs="仿宋_GB2312"/>
          <w:sz w:val="32"/>
          <w:szCs w:val="32"/>
          <w:lang w:eastAsia="zh-CN"/>
        </w:rPr>
        <w:t>全年在</w:t>
      </w:r>
      <w:r>
        <w:rPr>
          <w:rFonts w:hint="eastAsia" w:ascii="仿宋_GB2312" w:hAnsi="仿宋_GB2312" w:eastAsia="仿宋_GB2312" w:cs="仿宋_GB2312"/>
          <w:sz w:val="32"/>
          <w:szCs w:val="32"/>
        </w:rPr>
        <w:t>《北京晨报》、《北京青年报》、《法治进行时》、顺义电视台等12家市级、区级主流媒体共刊发我局相关报道426篇</w:t>
      </w:r>
      <w:r>
        <w:rPr>
          <w:rFonts w:hint="eastAsia" w:ascii="仿宋_GB2312" w:hAnsi="仿宋_GB2312" w:eastAsia="仿宋_GB2312" w:cs="仿宋_GB2312"/>
          <w:sz w:val="32"/>
          <w:szCs w:val="32"/>
          <w:lang w:eastAsia="zh-CN"/>
        </w:rPr>
        <w:t>，“双微”</w:t>
      </w:r>
      <w:r>
        <w:rPr>
          <w:rFonts w:hint="eastAsia" w:ascii="仿宋_GB2312" w:hAnsi="仿宋_GB2312" w:eastAsia="仿宋_GB2312" w:cs="仿宋_GB2312"/>
          <w:sz w:val="32"/>
          <w:szCs w:val="32"/>
        </w:rPr>
        <w:t>平台共发布微博1637条、微信864条。</w:t>
      </w:r>
      <w:r>
        <w:rPr>
          <w:rFonts w:hint="eastAsia" w:ascii="仿宋_GB2312" w:hAnsi="仿宋_GB2312" w:eastAsia="仿宋_GB2312" w:cs="仿宋_GB2312"/>
          <w:sz w:val="32"/>
          <w:szCs w:val="32"/>
          <w:lang w:eastAsia="zh-CN"/>
        </w:rPr>
        <w:t>同时，分局</w:t>
      </w:r>
      <w:r>
        <w:rPr>
          <w:rFonts w:hint="eastAsia" w:ascii="仿宋_GB2312" w:hAnsi="仿宋_GB2312" w:eastAsia="仿宋_GB2312" w:cs="仿宋_GB2312"/>
          <w:sz w:val="32"/>
          <w:szCs w:val="32"/>
        </w:rPr>
        <w:t>按照不同时期的工作重点，撰写专题片文案、做好采访协调工作，先后拍摄24期专题片。以上发布内容深受</w:t>
      </w:r>
      <w:r>
        <w:rPr>
          <w:rFonts w:hint="eastAsia" w:ascii="仿宋_GB2312" w:hAnsi="仿宋_GB2312" w:eastAsia="仿宋_GB2312" w:cs="仿宋_GB2312"/>
          <w:sz w:val="32"/>
          <w:szCs w:val="32"/>
          <w:lang w:eastAsia="zh-CN"/>
        </w:rPr>
        <w:t>市民</w:t>
      </w:r>
      <w:r>
        <w:rPr>
          <w:rFonts w:hint="eastAsia" w:ascii="仿宋_GB2312" w:hAnsi="仿宋_GB2312" w:eastAsia="仿宋_GB2312" w:cs="仿宋_GB2312"/>
          <w:sz w:val="32"/>
          <w:szCs w:val="32"/>
        </w:rPr>
        <w:t>欢迎。</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3" w:firstLineChars="200"/>
        <w:textAlignment w:val="auto"/>
        <w:outlineLvl w:val="9"/>
        <w:rPr>
          <w:rFonts w:hint="eastAsia" w:ascii="楷体_GB2312" w:hAnsi="楷体_GB2312" w:eastAsia="楷体_GB2312" w:cs="楷体_GB2312"/>
          <w:b/>
          <w:bCs/>
        </w:rPr>
      </w:pPr>
      <w:r>
        <w:rPr>
          <w:rFonts w:hint="eastAsia" w:ascii="楷体_GB2312" w:hAnsi="楷体_GB2312" w:eastAsia="楷体_GB2312" w:cs="楷体_GB2312"/>
          <w:b/>
          <w:bCs/>
          <w:sz w:val="32"/>
          <w:szCs w:val="32"/>
        </w:rPr>
        <w:t>（二）依申请公开情况</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color w:val="FF0000"/>
          <w:sz w:val="32"/>
          <w:szCs w:val="32"/>
        </w:rPr>
      </w:pPr>
      <w:r>
        <w:rPr>
          <w:rFonts w:hint="eastAsia" w:ascii="仿宋_GB2312" w:hAnsi="仿宋_GB2312" w:eastAsia="仿宋_GB2312" w:cs="仿宋_GB2312"/>
          <w:sz w:val="32"/>
          <w:szCs w:val="32"/>
        </w:rPr>
        <w:t>20</w:t>
      </w:r>
      <w:r>
        <w:rPr>
          <w:rFonts w:hint="eastAsia" w:ascii="仿宋_GB2312" w:hAnsi="仿宋_GB2312" w:eastAsia="仿宋_GB2312" w:cs="仿宋_GB2312"/>
          <w:sz w:val="32"/>
          <w:szCs w:val="32"/>
          <w:lang w:val="en-US" w:eastAsia="zh-CN"/>
        </w:rPr>
        <w:t>20</w:t>
      </w:r>
      <w:r>
        <w:rPr>
          <w:rFonts w:hint="eastAsia" w:ascii="仿宋_GB2312" w:hAnsi="仿宋_GB2312" w:eastAsia="仿宋_GB2312" w:cs="仿宋_GB2312"/>
          <w:sz w:val="32"/>
          <w:szCs w:val="32"/>
        </w:rPr>
        <w:t>年，顺义分局</w:t>
      </w:r>
      <w:r>
        <w:rPr>
          <w:rFonts w:hint="eastAsia" w:ascii="仿宋_GB2312" w:hAnsi="仿宋_GB2312" w:eastAsia="仿宋_GB2312" w:cs="仿宋_GB2312"/>
          <w:sz w:val="32"/>
          <w:szCs w:val="32"/>
          <w:lang w:eastAsia="zh-CN"/>
        </w:rPr>
        <w:t>接</w:t>
      </w:r>
      <w:r>
        <w:rPr>
          <w:rFonts w:hint="eastAsia" w:ascii="仿宋_GB2312" w:hAnsi="仿宋_GB2312" w:eastAsia="仿宋_GB2312" w:cs="仿宋_GB2312"/>
          <w:sz w:val="32"/>
          <w:szCs w:val="32"/>
        </w:rPr>
        <w:t>收政府信息公开申请</w:t>
      </w:r>
      <w:r>
        <w:rPr>
          <w:rFonts w:hint="eastAsia" w:ascii="仿宋_GB2312" w:hAnsi="仿宋_GB2312" w:eastAsia="仿宋_GB2312" w:cs="仿宋_GB2312"/>
          <w:sz w:val="32"/>
          <w:szCs w:val="32"/>
          <w:lang w:val="en-US" w:eastAsia="zh-CN"/>
        </w:rPr>
        <w:t>11</w:t>
      </w:r>
      <w:r>
        <w:rPr>
          <w:rFonts w:hint="eastAsia" w:ascii="仿宋_GB2312" w:hAnsi="仿宋_GB2312" w:eastAsia="仿宋_GB2312" w:cs="仿宋_GB2312"/>
          <w:sz w:val="32"/>
          <w:szCs w:val="32"/>
        </w:rPr>
        <w:t>件，上年结转1件。全年共办结</w:t>
      </w:r>
      <w:r>
        <w:rPr>
          <w:rFonts w:hint="eastAsia" w:ascii="仿宋_GB2312" w:hAnsi="仿宋_GB2312" w:eastAsia="仿宋_GB2312" w:cs="仿宋_GB2312"/>
          <w:sz w:val="32"/>
          <w:szCs w:val="32"/>
          <w:lang w:val="en-US" w:eastAsia="zh-CN"/>
        </w:rPr>
        <w:t>7</w:t>
      </w:r>
      <w:r>
        <w:rPr>
          <w:rFonts w:hint="eastAsia" w:ascii="仿宋_GB2312" w:hAnsi="仿宋_GB2312" w:eastAsia="仿宋_GB2312" w:cs="仿宋_GB2312"/>
          <w:sz w:val="32"/>
          <w:szCs w:val="32"/>
        </w:rPr>
        <w:t>件，尚有</w:t>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件正在办理，未到法定办理时限。其中，“予以公开”</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件，占总数的</w:t>
      </w:r>
      <w:r>
        <w:rPr>
          <w:rFonts w:hint="eastAsia" w:ascii="仿宋_GB2312" w:hAnsi="仿宋_GB2312" w:eastAsia="仿宋_GB2312" w:cs="仿宋_GB2312"/>
          <w:sz w:val="32"/>
          <w:szCs w:val="32"/>
          <w:lang w:val="en-US" w:eastAsia="zh-CN"/>
        </w:rPr>
        <w:t>33.3</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无法提供</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件，占总数的</w:t>
      </w:r>
      <w:r>
        <w:rPr>
          <w:rFonts w:hint="eastAsia" w:ascii="仿宋_GB2312" w:hAnsi="仿宋_GB2312" w:eastAsia="仿宋_GB2312" w:cs="仿宋_GB2312"/>
          <w:sz w:val="32"/>
          <w:szCs w:val="32"/>
          <w:lang w:val="en-US" w:eastAsia="zh-CN"/>
        </w:rPr>
        <w:t>16.7</w:t>
      </w:r>
      <w:r>
        <w:rPr>
          <w:rFonts w:hint="eastAsia" w:ascii="仿宋_GB2312" w:hAnsi="仿宋_GB2312" w:eastAsia="仿宋_GB2312" w:cs="仿宋_GB2312"/>
          <w:sz w:val="32"/>
          <w:szCs w:val="32"/>
        </w:rPr>
        <w:t>%（本机关不掌握相关政府信息2件）；</w:t>
      </w:r>
      <w:r>
        <w:rPr>
          <w:rFonts w:hint="eastAsia" w:ascii="仿宋_GB2312" w:hAnsi="仿宋_GB2312" w:eastAsia="仿宋_GB2312" w:cs="仿宋_GB2312"/>
          <w:sz w:val="32"/>
          <w:szCs w:val="32"/>
          <w:lang w:eastAsia="zh-CN"/>
        </w:rPr>
        <w:t>“不予处理”</w:t>
      </w:r>
      <w:r>
        <w:rPr>
          <w:rFonts w:hint="eastAsia" w:ascii="仿宋_GB2312" w:hAnsi="仿宋_GB2312" w:eastAsia="仿宋_GB2312" w:cs="仿宋_GB2312"/>
          <w:sz w:val="32"/>
          <w:szCs w:val="32"/>
          <w:lang w:val="en-US" w:eastAsia="zh-CN"/>
        </w:rPr>
        <w:t>1件，</w:t>
      </w:r>
      <w:r>
        <w:rPr>
          <w:rFonts w:hint="eastAsia" w:ascii="仿宋_GB2312" w:hAnsi="仿宋_GB2312" w:eastAsia="仿宋_GB2312" w:cs="仿宋_GB2312"/>
          <w:sz w:val="32"/>
          <w:szCs w:val="32"/>
        </w:rPr>
        <w:t>占总数的</w:t>
      </w:r>
      <w:r>
        <w:rPr>
          <w:rFonts w:hint="eastAsia" w:ascii="仿宋_GB2312" w:hAnsi="仿宋_GB2312" w:eastAsia="仿宋_GB2312" w:cs="仿宋_GB2312"/>
          <w:sz w:val="32"/>
          <w:szCs w:val="32"/>
          <w:lang w:val="en-US" w:eastAsia="zh-CN"/>
        </w:rPr>
        <w:t>8.3</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无正当理由大量反复申请</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3" w:firstLineChars="200"/>
        <w:textAlignment w:val="auto"/>
        <w:outlineLvl w:val="9"/>
        <w:rPr>
          <w:rFonts w:ascii="楷体" w:hAnsi="楷体" w:eastAsia="楷体"/>
          <w:color w:val="FF0000"/>
          <w:sz w:val="32"/>
          <w:szCs w:val="32"/>
        </w:rPr>
      </w:pPr>
      <w:r>
        <w:rPr>
          <w:rFonts w:hint="eastAsia" w:ascii="楷体_GB2312" w:hAnsi="楷体_GB2312" w:eastAsia="楷体_GB2312" w:cs="楷体_GB2312"/>
          <w:b/>
          <w:bCs/>
          <w:sz w:val="32"/>
          <w:szCs w:val="32"/>
        </w:rPr>
        <w:t>（三）政府信息资源的规范化、标准化管理情况</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顺义分局在市局领导下，</w:t>
      </w:r>
      <w:r>
        <w:rPr>
          <w:rFonts w:hint="eastAsia" w:ascii="仿宋_GB2312" w:hAnsi="仿宋_GB2312" w:eastAsia="仿宋_GB2312" w:cs="仿宋_GB2312"/>
          <w:sz w:val="32"/>
          <w:szCs w:val="32"/>
          <w:lang w:eastAsia="zh-CN"/>
        </w:rPr>
        <w:t>将对外服务事项</w:t>
      </w:r>
      <w:r>
        <w:rPr>
          <w:rFonts w:hint="eastAsia" w:ascii="仿宋_GB2312" w:hAnsi="仿宋_GB2312" w:eastAsia="仿宋_GB2312" w:cs="仿宋_GB2312"/>
          <w:sz w:val="32"/>
          <w:szCs w:val="32"/>
        </w:rPr>
        <w:t>进行“全目录、全流程”梳理，建立包括公开事项的名称、内容、公开属性、主体、时限、方式、依据等要素在内的公开标准模板，形成了一套政务公开标准目录</w:t>
      </w:r>
      <w:r>
        <w:rPr>
          <w:rFonts w:hint="eastAsia" w:ascii="仿宋_GB2312" w:hAnsi="仿宋_GB2312" w:eastAsia="仿宋_GB2312" w:cs="仿宋_GB2312"/>
          <w:sz w:val="32"/>
          <w:szCs w:val="32"/>
          <w:lang w:eastAsia="zh-CN"/>
        </w:rPr>
        <w:t>并在市政府网站公开</w:t>
      </w:r>
      <w:r>
        <w:rPr>
          <w:rFonts w:hint="eastAsia" w:ascii="仿宋_GB2312" w:hAnsi="仿宋_GB2312" w:eastAsia="仿宋_GB2312" w:cs="仿宋_GB2312"/>
          <w:sz w:val="32"/>
          <w:szCs w:val="32"/>
        </w:rPr>
        <w:t>。公开内容逐步覆盖了权力运行全流程、政务服务全过程，公开制度体系基本完备，公开实效也进一步提升。</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3" w:firstLineChars="200"/>
        <w:textAlignment w:val="auto"/>
        <w:outlineLvl w:val="9"/>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rPr>
        <w:t>（四）政府信息公开平台建设情况</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顺义分局在强化“两微一端”（微博、微信、今日头条客户端）</w:t>
      </w:r>
      <w:r>
        <w:rPr>
          <w:rFonts w:hint="eastAsia" w:ascii="仿宋_GB2312" w:hAnsi="仿宋_GB2312" w:eastAsia="仿宋_GB2312" w:cs="仿宋_GB2312"/>
          <w:sz w:val="32"/>
          <w:szCs w:val="32"/>
          <w:lang w:eastAsia="zh-CN"/>
        </w:rPr>
        <w:t>建设</w:t>
      </w:r>
      <w:r>
        <w:rPr>
          <w:rFonts w:hint="eastAsia" w:ascii="仿宋_GB2312" w:hAnsi="仿宋_GB2312" w:eastAsia="仿宋_GB2312" w:cs="仿宋_GB2312"/>
          <w:sz w:val="32"/>
          <w:szCs w:val="32"/>
        </w:rPr>
        <w:t>基础上，</w:t>
      </w:r>
      <w:r>
        <w:rPr>
          <w:rFonts w:hint="eastAsia" w:ascii="仿宋_GB2312" w:hAnsi="仿宋_GB2312" w:eastAsia="仿宋_GB2312" w:cs="仿宋_GB2312"/>
          <w:sz w:val="32"/>
          <w:szCs w:val="32"/>
          <w:lang w:eastAsia="zh-CN"/>
        </w:rPr>
        <w:t>积极拓宽公开渠道，开通抖音短视频账号。先后根据治安支队、交通支队、基层派出所提供的素材发布题为《冬季到来顺义警方教教您如何预防煤气中毒》、《文明养犬 人人有责》、《顺义交警严查机动车超员违法行为》、《顺义警方教您如何安全把幸福快递回家》系列短视频4期，</w:t>
      </w:r>
      <w:r>
        <w:rPr>
          <w:rFonts w:hint="eastAsia" w:ascii="仿宋_GB2312" w:hAnsi="仿宋_GB2312" w:eastAsia="仿宋_GB2312" w:cs="仿宋_GB2312"/>
          <w:sz w:val="32"/>
          <w:szCs w:val="32"/>
        </w:rPr>
        <w:t>受到社会各界肯定</w:t>
      </w:r>
      <w:r>
        <w:rPr>
          <w:rFonts w:hint="eastAsia" w:ascii="仿宋_GB2312" w:hAnsi="仿宋_GB2312" w:eastAsia="仿宋_GB2312" w:cs="仿宋_GB2312"/>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3" w:firstLineChars="200"/>
        <w:textAlignment w:val="auto"/>
        <w:outlineLvl w:val="9"/>
        <w:rPr>
          <w:b/>
          <w:bCs/>
          <w:sz w:val="32"/>
          <w:szCs w:val="32"/>
        </w:rPr>
      </w:pPr>
      <w:r>
        <w:rPr>
          <w:rFonts w:hint="eastAsia" w:ascii="楷体" w:hAnsi="楷体" w:eastAsia="楷体"/>
          <w:b/>
          <w:bCs/>
          <w:sz w:val="32"/>
          <w:szCs w:val="32"/>
        </w:rPr>
        <w:t>（五）政府信息公开监督保障及教育培训情况</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顺义分局在顺义区顺平西路10号信访接待室设立政府信息公开申请受理点，配备</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名兼职人员（民警</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人，辅警1人），工作中接受市局、区政府及人民群众监督。</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color w:val="FF0000"/>
          <w:sz w:val="32"/>
          <w:szCs w:val="32"/>
        </w:rPr>
      </w:pPr>
      <w:r>
        <w:rPr>
          <w:rFonts w:hint="eastAsia" w:ascii="仿宋_GB2312" w:hAnsi="仿宋_GB2312" w:eastAsia="仿宋_GB2312" w:cs="仿宋_GB2312"/>
          <w:sz w:val="32"/>
          <w:szCs w:val="32"/>
        </w:rPr>
        <w:t>教育培训方面，20</w:t>
      </w:r>
      <w:r>
        <w:rPr>
          <w:rFonts w:hint="eastAsia" w:ascii="仿宋_GB2312" w:hAnsi="仿宋_GB2312" w:eastAsia="仿宋_GB2312" w:cs="仿宋_GB2312"/>
          <w:sz w:val="32"/>
          <w:szCs w:val="32"/>
          <w:lang w:val="en-US" w:eastAsia="zh-CN"/>
        </w:rPr>
        <w:t>20</w:t>
      </w:r>
      <w:r>
        <w:rPr>
          <w:rFonts w:hint="eastAsia" w:ascii="仿宋_GB2312" w:hAnsi="仿宋_GB2312" w:eastAsia="仿宋_GB2312" w:cs="仿宋_GB2312"/>
          <w:sz w:val="32"/>
          <w:szCs w:val="32"/>
        </w:rPr>
        <w:t>年分局共召开政府信息公开工作会议或专题会议共</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次，举办培训班</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次，培训人员</w:t>
      </w:r>
      <w:r>
        <w:rPr>
          <w:rFonts w:hint="eastAsia" w:ascii="仿宋_GB2312" w:hAnsi="仿宋_GB2312" w:eastAsia="仿宋_GB2312" w:cs="仿宋_GB2312"/>
          <w:sz w:val="32"/>
          <w:szCs w:val="32"/>
          <w:lang w:val="en-US" w:eastAsia="zh-CN"/>
        </w:rPr>
        <w:t>20</w:t>
      </w:r>
      <w:r>
        <w:rPr>
          <w:rFonts w:hint="eastAsia" w:ascii="仿宋_GB2312" w:hAnsi="仿宋_GB2312" w:eastAsia="仿宋_GB2312" w:cs="仿宋_GB2312"/>
          <w:sz w:val="32"/>
          <w:szCs w:val="32"/>
        </w:rPr>
        <w:t>余人次。</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27" w:firstLineChars="196"/>
        <w:textAlignment w:val="auto"/>
        <w:outlineLvl w:val="9"/>
        <w:rPr>
          <w:b w:val="0"/>
          <w:bCs/>
        </w:rPr>
      </w:pPr>
      <w:r>
        <w:rPr>
          <w:rFonts w:hint="eastAsia" w:ascii="黑体" w:hAnsi="黑体" w:eastAsia="黑体"/>
          <w:b w:val="0"/>
          <w:bCs/>
          <w:sz w:val="32"/>
          <w:szCs w:val="32"/>
        </w:rPr>
        <w:t>二、主动公开政府信息情况</w:t>
      </w:r>
    </w:p>
    <w:tbl>
      <w:tblPr>
        <w:tblStyle w:val="5"/>
        <w:tblW w:w="8522"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339"/>
        <w:gridCol w:w="998"/>
        <w:gridCol w:w="152"/>
        <w:gridCol w:w="1942"/>
        <w:gridCol w:w="1422"/>
        <w:gridCol w:w="166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0" w:hRule="atLeast"/>
        </w:trPr>
        <w:tc>
          <w:tcPr>
            <w:tcW w:w="8522" w:type="dxa"/>
            <w:gridSpan w:val="6"/>
            <w:shd w:val="clear" w:color="auto" w:fill="B8CCE4"/>
            <w:vAlign w:val="center"/>
          </w:tcPr>
          <w:p>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pPr>
            <w:r>
              <w:rPr>
                <w:rFonts w:hint="eastAsia"/>
              </w:rPr>
              <w:t>第二十条第（一）项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0" w:hRule="atLeast"/>
        </w:trPr>
        <w:tc>
          <w:tcPr>
            <w:tcW w:w="3337" w:type="dxa"/>
            <w:gridSpan w:val="2"/>
            <w:vAlign w:val="center"/>
          </w:tcPr>
          <w:p>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pPr>
            <w:r>
              <w:rPr>
                <w:rFonts w:hint="eastAsia"/>
              </w:rPr>
              <w:t>信息内容</w:t>
            </w:r>
          </w:p>
        </w:tc>
        <w:tc>
          <w:tcPr>
            <w:tcW w:w="2094" w:type="dxa"/>
            <w:gridSpan w:val="2"/>
            <w:vAlign w:val="center"/>
          </w:tcPr>
          <w:p>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pPr>
            <w:r>
              <w:rPr>
                <w:rFonts w:hint="eastAsia"/>
              </w:rPr>
              <w:t>本年新制作数量</w:t>
            </w:r>
          </w:p>
        </w:tc>
        <w:tc>
          <w:tcPr>
            <w:tcW w:w="1422" w:type="dxa"/>
            <w:vAlign w:val="center"/>
          </w:tcPr>
          <w:p>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pPr>
            <w:r>
              <w:rPr>
                <w:rFonts w:hint="eastAsia"/>
              </w:rPr>
              <w:t>本年新公开数量</w:t>
            </w:r>
          </w:p>
        </w:tc>
        <w:tc>
          <w:tcPr>
            <w:tcW w:w="1669" w:type="dxa"/>
            <w:vAlign w:val="center"/>
          </w:tcPr>
          <w:p>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pPr>
            <w:r>
              <w:rPr>
                <w:rFonts w:hint="eastAsia"/>
              </w:rPr>
              <w:t>对外公开总数量</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0" w:hRule="atLeast"/>
        </w:trPr>
        <w:tc>
          <w:tcPr>
            <w:tcW w:w="3337" w:type="dxa"/>
            <w:gridSpan w:val="2"/>
            <w:vAlign w:val="center"/>
          </w:tcPr>
          <w:p>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pPr>
            <w:r>
              <w:rPr>
                <w:rFonts w:hint="eastAsia"/>
              </w:rPr>
              <w:t>规章</w:t>
            </w:r>
          </w:p>
        </w:tc>
        <w:tc>
          <w:tcPr>
            <w:tcW w:w="2094" w:type="dxa"/>
            <w:gridSpan w:val="2"/>
            <w:vAlign w:val="center"/>
          </w:tcPr>
          <w:p>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pPr>
            <w:r>
              <w:t>0</w:t>
            </w:r>
          </w:p>
        </w:tc>
        <w:tc>
          <w:tcPr>
            <w:tcW w:w="1422" w:type="dxa"/>
            <w:vAlign w:val="center"/>
          </w:tcPr>
          <w:p>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pPr>
            <w:r>
              <w:t>0</w:t>
            </w:r>
          </w:p>
        </w:tc>
        <w:tc>
          <w:tcPr>
            <w:tcW w:w="1669" w:type="dxa"/>
            <w:vAlign w:val="center"/>
          </w:tcPr>
          <w:p>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pPr>
            <w:r>
              <w:t>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0" w:hRule="atLeast"/>
        </w:trPr>
        <w:tc>
          <w:tcPr>
            <w:tcW w:w="3337" w:type="dxa"/>
            <w:gridSpan w:val="2"/>
            <w:vAlign w:val="center"/>
          </w:tcPr>
          <w:p>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pPr>
            <w:r>
              <w:rPr>
                <w:rFonts w:hint="eastAsia"/>
              </w:rPr>
              <w:t>规范性文件</w:t>
            </w:r>
          </w:p>
        </w:tc>
        <w:tc>
          <w:tcPr>
            <w:tcW w:w="2094" w:type="dxa"/>
            <w:gridSpan w:val="2"/>
            <w:vAlign w:val="center"/>
          </w:tcPr>
          <w:p>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pPr>
            <w:r>
              <w:t>0</w:t>
            </w:r>
          </w:p>
        </w:tc>
        <w:tc>
          <w:tcPr>
            <w:tcW w:w="1422" w:type="dxa"/>
            <w:vAlign w:val="center"/>
          </w:tcPr>
          <w:p>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pPr>
            <w:r>
              <w:t>0</w:t>
            </w:r>
          </w:p>
        </w:tc>
        <w:tc>
          <w:tcPr>
            <w:tcW w:w="1669" w:type="dxa"/>
            <w:vAlign w:val="center"/>
          </w:tcPr>
          <w:p>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pPr>
            <w:r>
              <w:t>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0" w:hRule="atLeast"/>
        </w:trPr>
        <w:tc>
          <w:tcPr>
            <w:tcW w:w="8522" w:type="dxa"/>
            <w:gridSpan w:val="6"/>
            <w:shd w:val="clear" w:color="auto" w:fill="B8CCE4"/>
            <w:vAlign w:val="center"/>
          </w:tcPr>
          <w:p>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pPr>
            <w:r>
              <w:rPr>
                <w:rFonts w:hint="eastAsia"/>
              </w:rPr>
              <w:t>第二十条第（五）项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0" w:hRule="atLeast"/>
        </w:trPr>
        <w:tc>
          <w:tcPr>
            <w:tcW w:w="3489" w:type="dxa"/>
            <w:gridSpan w:val="3"/>
            <w:vAlign w:val="center"/>
          </w:tcPr>
          <w:p>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pPr>
            <w:r>
              <w:rPr>
                <w:rFonts w:hint="eastAsia"/>
              </w:rPr>
              <w:t>信息内容</w:t>
            </w:r>
          </w:p>
        </w:tc>
        <w:tc>
          <w:tcPr>
            <w:tcW w:w="1942" w:type="dxa"/>
            <w:vAlign w:val="center"/>
          </w:tcPr>
          <w:p>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pPr>
            <w:r>
              <w:rPr>
                <w:rFonts w:hint="eastAsia"/>
              </w:rPr>
              <w:t>上一年项目数量</w:t>
            </w:r>
          </w:p>
        </w:tc>
        <w:tc>
          <w:tcPr>
            <w:tcW w:w="1422" w:type="dxa"/>
            <w:vAlign w:val="center"/>
          </w:tcPr>
          <w:p>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pPr>
            <w:r>
              <w:rPr>
                <w:rFonts w:hint="eastAsia"/>
              </w:rPr>
              <w:t>本年增</w:t>
            </w:r>
            <w:r>
              <w:t>/</w:t>
            </w:r>
            <w:r>
              <w:rPr>
                <w:rFonts w:hint="eastAsia"/>
              </w:rPr>
              <w:t>减</w:t>
            </w:r>
          </w:p>
        </w:tc>
        <w:tc>
          <w:tcPr>
            <w:tcW w:w="1669" w:type="dxa"/>
            <w:vAlign w:val="center"/>
          </w:tcPr>
          <w:p>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pPr>
            <w:r>
              <w:rPr>
                <w:rFonts w:hint="eastAsia"/>
              </w:rPr>
              <w:t>处理决定数量</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0" w:hRule="atLeast"/>
        </w:trPr>
        <w:tc>
          <w:tcPr>
            <w:tcW w:w="3489" w:type="dxa"/>
            <w:gridSpan w:val="3"/>
            <w:vAlign w:val="center"/>
          </w:tcPr>
          <w:p>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pPr>
            <w:r>
              <w:rPr>
                <w:rFonts w:hint="eastAsia"/>
              </w:rPr>
              <w:t>行政许可</w:t>
            </w:r>
          </w:p>
        </w:tc>
        <w:tc>
          <w:tcPr>
            <w:tcW w:w="1942" w:type="dxa"/>
            <w:vAlign w:val="center"/>
          </w:tcPr>
          <w:p>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rFonts w:hint="default" w:eastAsia="宋体"/>
                <w:lang w:val="en-US" w:eastAsia="zh-CN"/>
              </w:rPr>
            </w:pPr>
            <w:r>
              <w:rPr>
                <w:rFonts w:hint="eastAsia"/>
                <w:lang w:val="en-US" w:eastAsia="zh-CN"/>
              </w:rPr>
              <w:t>20</w:t>
            </w:r>
          </w:p>
        </w:tc>
        <w:tc>
          <w:tcPr>
            <w:tcW w:w="1422" w:type="dxa"/>
            <w:vAlign w:val="center"/>
          </w:tcPr>
          <w:p>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rFonts w:hint="default" w:eastAsia="宋体"/>
                <w:lang w:val="en-US" w:eastAsia="zh-CN"/>
              </w:rPr>
            </w:pPr>
            <w:r>
              <w:rPr>
                <w:rFonts w:hint="eastAsia"/>
                <w:lang w:val="en-US" w:eastAsia="zh-CN"/>
              </w:rPr>
              <w:t xml:space="preserve">+43  </w:t>
            </w:r>
          </w:p>
        </w:tc>
        <w:tc>
          <w:tcPr>
            <w:tcW w:w="1669" w:type="dxa"/>
            <w:vAlign w:val="center"/>
          </w:tcPr>
          <w:p>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rFonts w:hint="eastAsia" w:eastAsia="宋体"/>
                <w:lang w:val="en-US" w:eastAsia="zh-CN"/>
              </w:rPr>
            </w:pPr>
            <w:r>
              <w:rPr>
                <w:rFonts w:hint="eastAsia" w:eastAsia="宋体"/>
                <w:lang w:val="en-US" w:eastAsia="zh-CN"/>
              </w:rPr>
              <w:t>298537</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0" w:hRule="atLeast"/>
        </w:trPr>
        <w:tc>
          <w:tcPr>
            <w:tcW w:w="2339" w:type="dxa"/>
            <w:vMerge w:val="restart"/>
            <w:vAlign w:val="center"/>
          </w:tcPr>
          <w:p>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pPr>
            <w:r>
              <w:rPr>
                <w:rFonts w:hint="eastAsia"/>
              </w:rPr>
              <w:t>其他对外管理服务事项</w:t>
            </w:r>
          </w:p>
        </w:tc>
        <w:tc>
          <w:tcPr>
            <w:tcW w:w="1150" w:type="dxa"/>
            <w:gridSpan w:val="2"/>
            <w:vAlign w:val="center"/>
          </w:tcPr>
          <w:p>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pPr>
            <w:r>
              <w:rPr>
                <w:rFonts w:hint="eastAsia"/>
              </w:rPr>
              <w:t>行政检查</w:t>
            </w:r>
          </w:p>
        </w:tc>
        <w:tc>
          <w:tcPr>
            <w:tcW w:w="1942" w:type="dxa"/>
            <w:vAlign w:val="center"/>
          </w:tcPr>
          <w:p>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pPr>
            <w:r>
              <w:t>13</w:t>
            </w:r>
          </w:p>
        </w:tc>
        <w:tc>
          <w:tcPr>
            <w:tcW w:w="1422" w:type="dxa"/>
            <w:vAlign w:val="center"/>
          </w:tcPr>
          <w:p>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rFonts w:hint="default" w:eastAsia="宋体"/>
                <w:lang w:val="en-US" w:eastAsia="zh-CN"/>
              </w:rPr>
            </w:pPr>
            <w:r>
              <w:rPr>
                <w:rFonts w:hint="eastAsia"/>
                <w:lang w:val="en-US" w:eastAsia="zh-CN"/>
              </w:rPr>
              <w:t xml:space="preserve">-3  </w:t>
            </w:r>
          </w:p>
        </w:tc>
        <w:tc>
          <w:tcPr>
            <w:tcW w:w="1669" w:type="dxa"/>
            <w:vAlign w:val="center"/>
          </w:tcPr>
          <w:p>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rFonts w:hint="eastAsia" w:eastAsia="宋体"/>
                <w:lang w:val="en-US" w:eastAsia="zh-CN"/>
              </w:rPr>
            </w:pPr>
            <w:r>
              <w:rPr>
                <w:rFonts w:hint="eastAsia" w:eastAsia="宋体"/>
                <w:lang w:val="en-US" w:eastAsia="zh-CN"/>
              </w:rPr>
              <w:t>7007</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0" w:hRule="atLeast"/>
        </w:trPr>
        <w:tc>
          <w:tcPr>
            <w:tcW w:w="2339" w:type="dxa"/>
            <w:vMerge w:val="continue"/>
            <w:vAlign w:val="center"/>
          </w:tcPr>
          <w:p>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pPr>
          </w:p>
        </w:tc>
        <w:tc>
          <w:tcPr>
            <w:tcW w:w="1150" w:type="dxa"/>
            <w:gridSpan w:val="2"/>
            <w:vAlign w:val="center"/>
          </w:tcPr>
          <w:p>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pPr>
            <w:r>
              <w:rPr>
                <w:rFonts w:hint="eastAsia"/>
              </w:rPr>
              <w:t>行政确认</w:t>
            </w:r>
          </w:p>
        </w:tc>
        <w:tc>
          <w:tcPr>
            <w:tcW w:w="1942" w:type="dxa"/>
            <w:vAlign w:val="center"/>
          </w:tcPr>
          <w:p>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rFonts w:hint="default" w:eastAsia="宋体"/>
                <w:lang w:val="en-US" w:eastAsia="zh-CN"/>
              </w:rPr>
            </w:pPr>
            <w:r>
              <w:rPr>
                <w:rFonts w:hint="eastAsia"/>
                <w:lang w:val="en-US" w:eastAsia="zh-CN"/>
              </w:rPr>
              <w:t>17</w:t>
            </w:r>
          </w:p>
        </w:tc>
        <w:tc>
          <w:tcPr>
            <w:tcW w:w="1422" w:type="dxa"/>
            <w:vAlign w:val="center"/>
          </w:tcPr>
          <w:p>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rFonts w:hint="default" w:eastAsia="宋体"/>
                <w:lang w:val="en-US" w:eastAsia="zh-CN"/>
              </w:rPr>
            </w:pPr>
            <w:r>
              <w:rPr>
                <w:rFonts w:hint="eastAsia"/>
                <w:lang w:val="en-US" w:eastAsia="zh-CN"/>
              </w:rPr>
              <w:t xml:space="preserve">+18  </w:t>
            </w:r>
          </w:p>
        </w:tc>
        <w:tc>
          <w:tcPr>
            <w:tcW w:w="1669" w:type="dxa"/>
            <w:vAlign w:val="center"/>
          </w:tcPr>
          <w:p>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rFonts w:hint="eastAsia" w:eastAsia="宋体"/>
                <w:lang w:val="en-US" w:eastAsia="zh-CN"/>
              </w:rPr>
            </w:pPr>
            <w:r>
              <w:rPr>
                <w:rFonts w:hint="eastAsia" w:eastAsia="宋体"/>
                <w:lang w:val="en-US" w:eastAsia="zh-CN"/>
              </w:rPr>
              <w:t>991435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0" w:hRule="atLeast"/>
        </w:trPr>
        <w:tc>
          <w:tcPr>
            <w:tcW w:w="8522" w:type="dxa"/>
            <w:gridSpan w:val="6"/>
            <w:shd w:val="clear" w:color="auto" w:fill="B8CCE4"/>
            <w:vAlign w:val="center"/>
          </w:tcPr>
          <w:p>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pPr>
            <w:r>
              <w:rPr>
                <w:rFonts w:hint="eastAsia"/>
              </w:rPr>
              <w:t>第二十条第（六）项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0" w:hRule="atLeast"/>
        </w:trPr>
        <w:tc>
          <w:tcPr>
            <w:tcW w:w="3337" w:type="dxa"/>
            <w:gridSpan w:val="2"/>
            <w:vAlign w:val="center"/>
          </w:tcPr>
          <w:p>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pPr>
            <w:r>
              <w:rPr>
                <w:rFonts w:hint="eastAsia"/>
              </w:rPr>
              <w:t>信息内容</w:t>
            </w:r>
          </w:p>
        </w:tc>
        <w:tc>
          <w:tcPr>
            <w:tcW w:w="2094" w:type="dxa"/>
            <w:gridSpan w:val="2"/>
            <w:vAlign w:val="center"/>
          </w:tcPr>
          <w:p>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pPr>
            <w:r>
              <w:rPr>
                <w:rFonts w:hint="eastAsia"/>
              </w:rPr>
              <w:t>上一年项目数量</w:t>
            </w:r>
          </w:p>
        </w:tc>
        <w:tc>
          <w:tcPr>
            <w:tcW w:w="1422" w:type="dxa"/>
            <w:vAlign w:val="center"/>
          </w:tcPr>
          <w:p>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pPr>
            <w:r>
              <w:rPr>
                <w:rFonts w:hint="eastAsia"/>
              </w:rPr>
              <w:t>本年增</w:t>
            </w:r>
            <w:r>
              <w:t>/</w:t>
            </w:r>
            <w:r>
              <w:rPr>
                <w:rFonts w:hint="eastAsia"/>
              </w:rPr>
              <w:t>减</w:t>
            </w:r>
          </w:p>
        </w:tc>
        <w:tc>
          <w:tcPr>
            <w:tcW w:w="1669" w:type="dxa"/>
            <w:vAlign w:val="center"/>
          </w:tcPr>
          <w:p>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pPr>
            <w:r>
              <w:rPr>
                <w:rFonts w:hint="eastAsia"/>
              </w:rPr>
              <w:t>处理决定数量</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0" w:hRule="atLeast"/>
        </w:trPr>
        <w:tc>
          <w:tcPr>
            <w:tcW w:w="3337" w:type="dxa"/>
            <w:gridSpan w:val="2"/>
            <w:vAlign w:val="center"/>
          </w:tcPr>
          <w:p>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pPr>
            <w:r>
              <w:rPr>
                <w:rFonts w:hint="eastAsia"/>
              </w:rPr>
              <w:t>行政处罚</w:t>
            </w:r>
          </w:p>
        </w:tc>
        <w:tc>
          <w:tcPr>
            <w:tcW w:w="2094" w:type="dxa"/>
            <w:gridSpan w:val="2"/>
            <w:vAlign w:val="center"/>
          </w:tcPr>
          <w:p>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rFonts w:hint="default" w:eastAsia="宋体"/>
                <w:lang w:val="en-US" w:eastAsia="zh-CN"/>
              </w:rPr>
            </w:pPr>
            <w:r>
              <w:rPr>
                <w:rFonts w:hint="eastAsia"/>
                <w:lang w:val="en-US" w:eastAsia="zh-CN"/>
              </w:rPr>
              <w:t>897</w:t>
            </w:r>
          </w:p>
        </w:tc>
        <w:tc>
          <w:tcPr>
            <w:tcW w:w="1422" w:type="dxa"/>
            <w:vAlign w:val="center"/>
          </w:tcPr>
          <w:p>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rFonts w:hint="default" w:eastAsia="宋体"/>
                <w:lang w:val="en-US" w:eastAsia="zh-CN"/>
              </w:rPr>
            </w:pPr>
            <w:r>
              <w:rPr>
                <w:rFonts w:hint="eastAsia"/>
                <w:lang w:val="en-US" w:eastAsia="zh-CN"/>
              </w:rPr>
              <w:t>-12</w:t>
            </w:r>
          </w:p>
        </w:tc>
        <w:tc>
          <w:tcPr>
            <w:tcW w:w="1669" w:type="dxa"/>
            <w:vAlign w:val="center"/>
          </w:tcPr>
          <w:p>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rFonts w:hint="default" w:eastAsia="宋体"/>
                <w:lang w:val="en-US" w:eastAsia="zh-CN"/>
              </w:rPr>
            </w:pPr>
            <w:r>
              <w:rPr>
                <w:rFonts w:hint="eastAsia"/>
                <w:lang w:val="en-US" w:eastAsia="zh-CN"/>
              </w:rPr>
              <w:t>5706</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0" w:hRule="atLeast"/>
        </w:trPr>
        <w:tc>
          <w:tcPr>
            <w:tcW w:w="3337" w:type="dxa"/>
            <w:gridSpan w:val="2"/>
            <w:vAlign w:val="center"/>
          </w:tcPr>
          <w:p>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pPr>
            <w:r>
              <w:rPr>
                <w:rFonts w:hint="eastAsia"/>
              </w:rPr>
              <w:t>行政强制</w:t>
            </w:r>
          </w:p>
        </w:tc>
        <w:tc>
          <w:tcPr>
            <w:tcW w:w="2094" w:type="dxa"/>
            <w:gridSpan w:val="2"/>
            <w:vAlign w:val="center"/>
          </w:tcPr>
          <w:p>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pPr>
            <w:r>
              <w:t>55</w:t>
            </w:r>
          </w:p>
        </w:tc>
        <w:tc>
          <w:tcPr>
            <w:tcW w:w="1422" w:type="dxa"/>
            <w:vAlign w:val="center"/>
          </w:tcPr>
          <w:p>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rFonts w:hint="default" w:eastAsia="宋体"/>
                <w:lang w:val="en-US" w:eastAsia="zh-CN"/>
              </w:rPr>
            </w:pPr>
            <w:r>
              <w:rPr>
                <w:rFonts w:hint="eastAsia"/>
                <w:lang w:val="en-US" w:eastAsia="zh-CN"/>
              </w:rPr>
              <w:t xml:space="preserve">-4  </w:t>
            </w:r>
          </w:p>
        </w:tc>
        <w:tc>
          <w:tcPr>
            <w:tcW w:w="1669" w:type="dxa"/>
            <w:vAlign w:val="center"/>
          </w:tcPr>
          <w:p>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rFonts w:hint="eastAsia" w:eastAsia="宋体"/>
                <w:lang w:val="en-US" w:eastAsia="zh-CN"/>
              </w:rPr>
            </w:pPr>
            <w:r>
              <w:rPr>
                <w:rFonts w:hint="eastAsia" w:eastAsia="宋体"/>
                <w:lang w:val="en-US" w:eastAsia="zh-CN"/>
              </w:rPr>
              <w:t>9430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0" w:hRule="atLeast"/>
        </w:trPr>
        <w:tc>
          <w:tcPr>
            <w:tcW w:w="8522" w:type="dxa"/>
            <w:gridSpan w:val="6"/>
            <w:shd w:val="clear" w:color="auto" w:fill="B8CCE4"/>
            <w:vAlign w:val="center"/>
          </w:tcPr>
          <w:p>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pPr>
            <w:r>
              <w:rPr>
                <w:rFonts w:hint="eastAsia"/>
              </w:rPr>
              <w:t>第二十条第（八）项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0" w:hRule="atLeast"/>
        </w:trPr>
        <w:tc>
          <w:tcPr>
            <w:tcW w:w="3337" w:type="dxa"/>
            <w:gridSpan w:val="2"/>
            <w:vAlign w:val="center"/>
          </w:tcPr>
          <w:p>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pPr>
            <w:r>
              <w:rPr>
                <w:rFonts w:hint="eastAsia"/>
              </w:rPr>
              <w:t>信息内容</w:t>
            </w:r>
          </w:p>
        </w:tc>
        <w:tc>
          <w:tcPr>
            <w:tcW w:w="2094" w:type="dxa"/>
            <w:gridSpan w:val="2"/>
            <w:vAlign w:val="center"/>
          </w:tcPr>
          <w:p>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pPr>
            <w:r>
              <w:rPr>
                <w:rFonts w:hint="eastAsia"/>
              </w:rPr>
              <w:t>上一年项目数量</w:t>
            </w:r>
          </w:p>
        </w:tc>
        <w:tc>
          <w:tcPr>
            <w:tcW w:w="3091" w:type="dxa"/>
            <w:gridSpan w:val="2"/>
            <w:vAlign w:val="center"/>
          </w:tcPr>
          <w:p>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pPr>
            <w:r>
              <w:rPr>
                <w:rFonts w:hint="eastAsia"/>
              </w:rPr>
              <w:t>本年增</w:t>
            </w:r>
            <w:r>
              <w:t>/</w:t>
            </w:r>
            <w:r>
              <w:rPr>
                <w:rFonts w:hint="eastAsia"/>
              </w:rPr>
              <w:t>减</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0" w:hRule="atLeast"/>
        </w:trPr>
        <w:tc>
          <w:tcPr>
            <w:tcW w:w="3337" w:type="dxa"/>
            <w:gridSpan w:val="2"/>
            <w:vAlign w:val="center"/>
          </w:tcPr>
          <w:p>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pPr>
            <w:r>
              <w:rPr>
                <w:rFonts w:hint="eastAsia"/>
              </w:rPr>
              <w:t>行政事业性收费</w:t>
            </w:r>
          </w:p>
        </w:tc>
        <w:tc>
          <w:tcPr>
            <w:tcW w:w="2094" w:type="dxa"/>
            <w:gridSpan w:val="2"/>
            <w:vAlign w:val="center"/>
          </w:tcPr>
          <w:p>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pPr>
            <w:r>
              <w:t>31</w:t>
            </w:r>
          </w:p>
        </w:tc>
        <w:tc>
          <w:tcPr>
            <w:tcW w:w="3091" w:type="dxa"/>
            <w:gridSpan w:val="2"/>
            <w:vAlign w:val="center"/>
          </w:tcPr>
          <w:p>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rFonts w:hint="default" w:eastAsia="宋体"/>
                <w:lang w:val="en-US" w:eastAsia="zh-CN"/>
              </w:rPr>
            </w:pPr>
            <w:r>
              <w:rPr>
                <w:rFonts w:hint="eastAsia"/>
                <w:lang w:val="en-US" w:eastAsia="zh-CN"/>
              </w:rPr>
              <w:t>+12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0" w:hRule="atLeast"/>
        </w:trPr>
        <w:tc>
          <w:tcPr>
            <w:tcW w:w="8522" w:type="dxa"/>
            <w:gridSpan w:val="6"/>
            <w:shd w:val="clear" w:color="auto" w:fill="B8CCE4"/>
            <w:vAlign w:val="center"/>
          </w:tcPr>
          <w:p>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pPr>
            <w:r>
              <w:rPr>
                <w:rFonts w:hint="eastAsia"/>
              </w:rPr>
              <w:t>第二十条第（九）项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0" w:hRule="atLeast"/>
        </w:trPr>
        <w:tc>
          <w:tcPr>
            <w:tcW w:w="3337" w:type="dxa"/>
            <w:gridSpan w:val="2"/>
            <w:vAlign w:val="center"/>
          </w:tcPr>
          <w:p>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pPr>
            <w:r>
              <w:rPr>
                <w:rFonts w:hint="eastAsia"/>
              </w:rPr>
              <w:t>信息内容</w:t>
            </w:r>
          </w:p>
        </w:tc>
        <w:tc>
          <w:tcPr>
            <w:tcW w:w="2094" w:type="dxa"/>
            <w:gridSpan w:val="2"/>
            <w:vAlign w:val="center"/>
          </w:tcPr>
          <w:p>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pPr>
            <w:r>
              <w:rPr>
                <w:rFonts w:hint="eastAsia"/>
              </w:rPr>
              <w:t>采购项目数量</w:t>
            </w:r>
          </w:p>
        </w:tc>
        <w:tc>
          <w:tcPr>
            <w:tcW w:w="3091" w:type="dxa"/>
            <w:gridSpan w:val="2"/>
            <w:vAlign w:val="center"/>
          </w:tcPr>
          <w:p>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pPr>
            <w:r>
              <w:rPr>
                <w:rFonts w:hint="eastAsia"/>
              </w:rPr>
              <w:t>采购总金额（万元，保留四位小数）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0" w:hRule="atLeast"/>
        </w:trPr>
        <w:tc>
          <w:tcPr>
            <w:tcW w:w="3337" w:type="dxa"/>
            <w:gridSpan w:val="2"/>
            <w:vAlign w:val="center"/>
          </w:tcPr>
          <w:p>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pPr>
            <w:r>
              <w:rPr>
                <w:rFonts w:hint="eastAsia"/>
              </w:rPr>
              <w:t>政府集中采购</w:t>
            </w:r>
          </w:p>
        </w:tc>
        <w:tc>
          <w:tcPr>
            <w:tcW w:w="2094" w:type="dxa"/>
            <w:gridSpan w:val="2"/>
            <w:vAlign w:val="center"/>
          </w:tcPr>
          <w:p>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rFonts w:hint="default" w:eastAsia="宋体"/>
                <w:lang w:val="en-US" w:eastAsia="zh-CN"/>
              </w:rPr>
            </w:pPr>
            <w:r>
              <w:rPr>
                <w:rFonts w:hint="eastAsia"/>
                <w:lang w:val="en-US" w:eastAsia="zh-CN"/>
              </w:rPr>
              <w:t>10</w:t>
            </w:r>
          </w:p>
        </w:tc>
        <w:tc>
          <w:tcPr>
            <w:tcW w:w="3091" w:type="dxa"/>
            <w:gridSpan w:val="2"/>
            <w:vAlign w:val="center"/>
          </w:tcPr>
          <w:p>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pPr>
            <w:r>
              <w:rPr>
                <w:rFonts w:hint="eastAsia"/>
              </w:rPr>
              <w:t>1881.9251</w:t>
            </w:r>
          </w:p>
        </w:tc>
      </w:tr>
    </w:tbl>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00" w:firstLineChars="200"/>
        <w:textAlignment w:val="auto"/>
        <w:outlineLvl w:val="9"/>
        <w:rPr>
          <w:b w:val="0"/>
          <w:bCs/>
          <w:color w:val="auto"/>
          <w:sz w:val="30"/>
          <w:szCs w:val="30"/>
        </w:rPr>
      </w:pPr>
      <w:r>
        <w:rPr>
          <w:rFonts w:hint="eastAsia" w:ascii="黑体" w:hAnsi="黑体" w:eastAsia="黑体"/>
          <w:b w:val="0"/>
          <w:bCs/>
          <w:color w:val="auto"/>
          <w:sz w:val="30"/>
          <w:szCs w:val="30"/>
        </w:rPr>
        <w:t>三、收到和处理政府信息公开申请情况</w:t>
      </w:r>
    </w:p>
    <w:tbl>
      <w:tblPr>
        <w:tblStyle w:val="5"/>
        <w:tblW w:w="8522"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26"/>
        <w:gridCol w:w="878"/>
        <w:gridCol w:w="1686"/>
        <w:gridCol w:w="709"/>
        <w:gridCol w:w="707"/>
        <w:gridCol w:w="707"/>
        <w:gridCol w:w="776"/>
        <w:gridCol w:w="819"/>
        <w:gridCol w:w="707"/>
        <w:gridCol w:w="70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15" w:hRule="atLeast"/>
        </w:trPr>
        <w:tc>
          <w:tcPr>
            <w:tcW w:w="3390" w:type="dxa"/>
            <w:gridSpan w:val="3"/>
            <w:vMerge w:val="restart"/>
            <w:vAlign w:val="center"/>
          </w:tcPr>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jc w:val="center"/>
              <w:textAlignment w:val="auto"/>
              <w:outlineLvl w:val="9"/>
              <w:rPr>
                <w:color w:val="auto"/>
              </w:rPr>
            </w:pPr>
            <w:r>
              <w:rPr>
                <w:rFonts w:hint="eastAsia" w:cs="宋体"/>
                <w:color w:val="auto"/>
              </w:rPr>
              <w:t>（本列数据的勾稽关系为：第一项加第二项之和，等于第三项加第四项之和）</w:t>
            </w:r>
          </w:p>
        </w:tc>
        <w:tc>
          <w:tcPr>
            <w:tcW w:w="5132" w:type="dxa"/>
            <w:gridSpan w:val="7"/>
            <w:vAlign w:val="center"/>
          </w:tcPr>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jc w:val="center"/>
              <w:textAlignment w:val="auto"/>
              <w:outlineLvl w:val="9"/>
              <w:rPr>
                <w:color w:val="auto"/>
              </w:rPr>
            </w:pPr>
            <w:r>
              <w:rPr>
                <w:rFonts w:hint="eastAsia" w:cs="宋体"/>
                <w:color w:val="auto"/>
              </w:rPr>
              <w:t>申请人情况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15" w:hRule="atLeast"/>
        </w:trPr>
        <w:tc>
          <w:tcPr>
            <w:tcW w:w="3390" w:type="dxa"/>
            <w:gridSpan w:val="3"/>
            <w:vMerge w:val="continue"/>
            <w:vAlign w:val="center"/>
          </w:tcPr>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jc w:val="center"/>
              <w:textAlignment w:val="auto"/>
              <w:outlineLvl w:val="9"/>
              <w:rPr>
                <w:color w:val="auto"/>
              </w:rPr>
            </w:pPr>
          </w:p>
        </w:tc>
        <w:tc>
          <w:tcPr>
            <w:tcW w:w="709" w:type="dxa"/>
            <w:vMerge w:val="restart"/>
            <w:vAlign w:val="center"/>
          </w:tcPr>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jc w:val="center"/>
              <w:textAlignment w:val="auto"/>
              <w:outlineLvl w:val="9"/>
              <w:rPr>
                <w:color w:val="auto"/>
              </w:rPr>
            </w:pPr>
            <w:r>
              <w:rPr>
                <w:rFonts w:hint="eastAsia" w:cs="宋体"/>
                <w:color w:val="auto"/>
              </w:rPr>
              <w:t>自然人</w:t>
            </w:r>
          </w:p>
        </w:tc>
        <w:tc>
          <w:tcPr>
            <w:tcW w:w="3716" w:type="dxa"/>
            <w:gridSpan w:val="5"/>
            <w:vAlign w:val="center"/>
          </w:tcPr>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jc w:val="center"/>
              <w:textAlignment w:val="auto"/>
              <w:outlineLvl w:val="9"/>
              <w:rPr>
                <w:color w:val="auto"/>
              </w:rPr>
            </w:pPr>
            <w:r>
              <w:rPr>
                <w:rFonts w:hint="eastAsia" w:cs="宋体"/>
                <w:color w:val="auto"/>
              </w:rPr>
              <w:t>法人或其他组织</w:t>
            </w:r>
          </w:p>
        </w:tc>
        <w:tc>
          <w:tcPr>
            <w:tcW w:w="707" w:type="dxa"/>
            <w:vMerge w:val="restart"/>
            <w:vAlign w:val="center"/>
          </w:tcPr>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jc w:val="center"/>
              <w:textAlignment w:val="auto"/>
              <w:outlineLvl w:val="9"/>
              <w:rPr>
                <w:color w:val="auto"/>
              </w:rPr>
            </w:pPr>
            <w:r>
              <w:rPr>
                <w:rFonts w:hint="eastAsia" w:cs="宋体"/>
                <w:color w:val="auto"/>
              </w:rPr>
              <w:t>总计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15" w:hRule="atLeast"/>
        </w:trPr>
        <w:tc>
          <w:tcPr>
            <w:tcW w:w="3390" w:type="dxa"/>
            <w:gridSpan w:val="3"/>
            <w:vMerge w:val="continue"/>
            <w:vAlign w:val="center"/>
          </w:tcPr>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jc w:val="center"/>
              <w:textAlignment w:val="auto"/>
              <w:outlineLvl w:val="9"/>
              <w:rPr>
                <w:color w:val="auto"/>
              </w:rPr>
            </w:pPr>
          </w:p>
        </w:tc>
        <w:tc>
          <w:tcPr>
            <w:tcW w:w="709" w:type="dxa"/>
            <w:vMerge w:val="continue"/>
            <w:vAlign w:val="center"/>
          </w:tcPr>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jc w:val="center"/>
              <w:textAlignment w:val="auto"/>
              <w:outlineLvl w:val="9"/>
              <w:rPr>
                <w:color w:val="auto"/>
              </w:rPr>
            </w:pPr>
          </w:p>
        </w:tc>
        <w:tc>
          <w:tcPr>
            <w:tcW w:w="707" w:type="dxa"/>
            <w:vAlign w:val="center"/>
          </w:tcPr>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jc w:val="center"/>
              <w:textAlignment w:val="auto"/>
              <w:outlineLvl w:val="9"/>
              <w:rPr>
                <w:color w:val="auto"/>
              </w:rPr>
            </w:pPr>
            <w:r>
              <w:rPr>
                <w:rFonts w:hint="eastAsia" w:cs="宋体"/>
                <w:color w:val="auto"/>
              </w:rPr>
              <w:t>商业企业</w:t>
            </w:r>
          </w:p>
        </w:tc>
        <w:tc>
          <w:tcPr>
            <w:tcW w:w="707" w:type="dxa"/>
            <w:vAlign w:val="center"/>
          </w:tcPr>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jc w:val="center"/>
              <w:textAlignment w:val="auto"/>
              <w:outlineLvl w:val="9"/>
              <w:rPr>
                <w:color w:val="auto"/>
              </w:rPr>
            </w:pPr>
            <w:r>
              <w:rPr>
                <w:rFonts w:hint="eastAsia" w:cs="宋体"/>
                <w:color w:val="auto"/>
              </w:rPr>
              <w:t>科研机构</w:t>
            </w:r>
          </w:p>
        </w:tc>
        <w:tc>
          <w:tcPr>
            <w:tcW w:w="776" w:type="dxa"/>
            <w:vAlign w:val="center"/>
          </w:tcPr>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jc w:val="center"/>
              <w:textAlignment w:val="auto"/>
              <w:outlineLvl w:val="9"/>
              <w:rPr>
                <w:color w:val="auto"/>
              </w:rPr>
            </w:pPr>
            <w:r>
              <w:rPr>
                <w:rFonts w:hint="eastAsia" w:cs="宋体"/>
                <w:color w:val="auto"/>
              </w:rPr>
              <w:t>社会公益组织</w:t>
            </w:r>
          </w:p>
        </w:tc>
        <w:tc>
          <w:tcPr>
            <w:tcW w:w="819" w:type="dxa"/>
            <w:vAlign w:val="center"/>
          </w:tcPr>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jc w:val="center"/>
              <w:textAlignment w:val="auto"/>
              <w:outlineLvl w:val="9"/>
              <w:rPr>
                <w:color w:val="auto"/>
              </w:rPr>
            </w:pPr>
            <w:r>
              <w:rPr>
                <w:rFonts w:hint="eastAsia" w:cs="宋体"/>
                <w:color w:val="auto"/>
              </w:rPr>
              <w:t>法律服务机构</w:t>
            </w:r>
          </w:p>
        </w:tc>
        <w:tc>
          <w:tcPr>
            <w:tcW w:w="707" w:type="dxa"/>
            <w:vAlign w:val="center"/>
          </w:tcPr>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jc w:val="center"/>
              <w:textAlignment w:val="auto"/>
              <w:outlineLvl w:val="9"/>
              <w:rPr>
                <w:color w:val="auto"/>
              </w:rPr>
            </w:pPr>
            <w:r>
              <w:rPr>
                <w:rFonts w:hint="eastAsia" w:cs="宋体"/>
                <w:color w:val="auto"/>
              </w:rPr>
              <w:t>其他</w:t>
            </w:r>
          </w:p>
        </w:tc>
        <w:tc>
          <w:tcPr>
            <w:tcW w:w="707" w:type="dxa"/>
            <w:vMerge w:val="continue"/>
            <w:vAlign w:val="center"/>
          </w:tcPr>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jc w:val="center"/>
              <w:textAlignment w:val="auto"/>
              <w:outlineLvl w:val="9"/>
              <w:rPr>
                <w:color w:val="auto"/>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70" w:hRule="atLeast"/>
        </w:trPr>
        <w:tc>
          <w:tcPr>
            <w:tcW w:w="3390" w:type="dxa"/>
            <w:gridSpan w:val="3"/>
            <w:vAlign w:val="center"/>
          </w:tcPr>
          <w:p>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color w:val="auto"/>
              </w:rPr>
            </w:pPr>
            <w:r>
              <w:rPr>
                <w:rFonts w:hint="eastAsia" w:cs="宋体"/>
                <w:color w:val="auto"/>
              </w:rPr>
              <w:t>一、本年新收政府信息公开申请数量</w:t>
            </w:r>
          </w:p>
        </w:tc>
        <w:tc>
          <w:tcPr>
            <w:tcW w:w="709" w:type="dxa"/>
            <w:vAlign w:val="center"/>
          </w:tcPr>
          <w:p>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rFonts w:hint="default" w:eastAsia="宋体"/>
                <w:color w:val="auto"/>
                <w:lang w:val="en-US" w:eastAsia="zh-CN"/>
              </w:rPr>
            </w:pPr>
            <w:r>
              <w:rPr>
                <w:rFonts w:hint="eastAsia"/>
                <w:color w:val="auto"/>
                <w:lang w:val="en-US" w:eastAsia="zh-CN"/>
              </w:rPr>
              <w:t>11</w:t>
            </w:r>
          </w:p>
        </w:tc>
        <w:tc>
          <w:tcPr>
            <w:tcW w:w="707" w:type="dxa"/>
            <w:vAlign w:val="center"/>
          </w:tcPr>
          <w:p>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color w:val="auto"/>
              </w:rPr>
            </w:pPr>
            <w:r>
              <w:rPr>
                <w:color w:val="auto"/>
              </w:rPr>
              <w:t>0</w:t>
            </w:r>
          </w:p>
        </w:tc>
        <w:tc>
          <w:tcPr>
            <w:tcW w:w="707" w:type="dxa"/>
            <w:vAlign w:val="center"/>
          </w:tcPr>
          <w:p>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color w:val="auto"/>
              </w:rPr>
            </w:pPr>
            <w:r>
              <w:rPr>
                <w:color w:val="auto"/>
              </w:rPr>
              <w:t>0</w:t>
            </w:r>
          </w:p>
        </w:tc>
        <w:tc>
          <w:tcPr>
            <w:tcW w:w="776" w:type="dxa"/>
            <w:vAlign w:val="center"/>
          </w:tcPr>
          <w:p>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color w:val="auto"/>
              </w:rPr>
            </w:pPr>
            <w:r>
              <w:rPr>
                <w:color w:val="auto"/>
              </w:rPr>
              <w:t>0</w:t>
            </w:r>
          </w:p>
        </w:tc>
        <w:tc>
          <w:tcPr>
            <w:tcW w:w="819" w:type="dxa"/>
            <w:vAlign w:val="center"/>
          </w:tcPr>
          <w:p>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color w:val="auto"/>
              </w:rPr>
            </w:pPr>
            <w:r>
              <w:rPr>
                <w:color w:val="auto"/>
              </w:rPr>
              <w:t>0</w:t>
            </w:r>
          </w:p>
        </w:tc>
        <w:tc>
          <w:tcPr>
            <w:tcW w:w="707" w:type="dxa"/>
            <w:vAlign w:val="center"/>
          </w:tcPr>
          <w:p>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color w:val="auto"/>
              </w:rPr>
            </w:pPr>
            <w:r>
              <w:rPr>
                <w:color w:val="auto"/>
              </w:rPr>
              <w:t>0</w:t>
            </w:r>
          </w:p>
        </w:tc>
        <w:tc>
          <w:tcPr>
            <w:tcW w:w="707" w:type="dxa"/>
            <w:vAlign w:val="center"/>
          </w:tcPr>
          <w:p>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rFonts w:hint="default" w:eastAsia="宋体"/>
                <w:color w:val="auto"/>
                <w:lang w:val="en-US" w:eastAsia="zh-CN"/>
              </w:rPr>
            </w:pPr>
            <w:r>
              <w:rPr>
                <w:rFonts w:hint="eastAsia"/>
                <w:color w:val="auto"/>
                <w:lang w:val="en-US" w:eastAsia="zh-CN"/>
              </w:rPr>
              <w:t>11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70" w:hRule="atLeast"/>
        </w:trPr>
        <w:tc>
          <w:tcPr>
            <w:tcW w:w="3390" w:type="dxa"/>
            <w:gridSpan w:val="3"/>
            <w:vAlign w:val="center"/>
          </w:tcPr>
          <w:p>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color w:val="auto"/>
              </w:rPr>
            </w:pPr>
            <w:r>
              <w:rPr>
                <w:rFonts w:hint="eastAsia" w:cs="宋体"/>
                <w:color w:val="auto"/>
              </w:rPr>
              <w:t>二、上年结转政府信息公开申请数量</w:t>
            </w:r>
          </w:p>
        </w:tc>
        <w:tc>
          <w:tcPr>
            <w:tcW w:w="709" w:type="dxa"/>
            <w:vAlign w:val="center"/>
          </w:tcPr>
          <w:p>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color w:val="auto"/>
              </w:rPr>
            </w:pPr>
            <w:r>
              <w:rPr>
                <w:color w:val="auto"/>
              </w:rPr>
              <w:t>1</w:t>
            </w:r>
          </w:p>
        </w:tc>
        <w:tc>
          <w:tcPr>
            <w:tcW w:w="707" w:type="dxa"/>
            <w:vAlign w:val="center"/>
          </w:tcPr>
          <w:p>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color w:val="auto"/>
              </w:rPr>
            </w:pPr>
            <w:r>
              <w:rPr>
                <w:color w:val="auto"/>
              </w:rPr>
              <w:t>0</w:t>
            </w:r>
          </w:p>
        </w:tc>
        <w:tc>
          <w:tcPr>
            <w:tcW w:w="707" w:type="dxa"/>
            <w:vAlign w:val="center"/>
          </w:tcPr>
          <w:p>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color w:val="auto"/>
              </w:rPr>
            </w:pPr>
            <w:r>
              <w:rPr>
                <w:color w:val="auto"/>
              </w:rPr>
              <w:t>0</w:t>
            </w:r>
          </w:p>
        </w:tc>
        <w:tc>
          <w:tcPr>
            <w:tcW w:w="776" w:type="dxa"/>
            <w:vAlign w:val="center"/>
          </w:tcPr>
          <w:p>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color w:val="auto"/>
              </w:rPr>
            </w:pPr>
            <w:r>
              <w:rPr>
                <w:color w:val="auto"/>
              </w:rPr>
              <w:t>0</w:t>
            </w:r>
          </w:p>
        </w:tc>
        <w:tc>
          <w:tcPr>
            <w:tcW w:w="819" w:type="dxa"/>
            <w:vAlign w:val="center"/>
          </w:tcPr>
          <w:p>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color w:val="auto"/>
              </w:rPr>
            </w:pPr>
            <w:r>
              <w:rPr>
                <w:color w:val="auto"/>
              </w:rPr>
              <w:t>0</w:t>
            </w:r>
          </w:p>
        </w:tc>
        <w:tc>
          <w:tcPr>
            <w:tcW w:w="707" w:type="dxa"/>
            <w:vAlign w:val="center"/>
          </w:tcPr>
          <w:p>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color w:val="auto"/>
              </w:rPr>
            </w:pPr>
            <w:r>
              <w:rPr>
                <w:color w:val="auto"/>
              </w:rPr>
              <w:t>0</w:t>
            </w:r>
          </w:p>
        </w:tc>
        <w:tc>
          <w:tcPr>
            <w:tcW w:w="707" w:type="dxa"/>
            <w:vAlign w:val="center"/>
          </w:tcPr>
          <w:p>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color w:val="auto"/>
              </w:rPr>
            </w:pPr>
            <w:r>
              <w:rPr>
                <w:color w:val="auto"/>
              </w:rPr>
              <w:t>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70" w:hRule="atLeast"/>
        </w:trPr>
        <w:tc>
          <w:tcPr>
            <w:tcW w:w="826" w:type="dxa"/>
            <w:vMerge w:val="restart"/>
            <w:vAlign w:val="center"/>
          </w:tcPr>
          <w:p>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color w:val="auto"/>
              </w:rPr>
            </w:pPr>
            <w:r>
              <w:rPr>
                <w:rFonts w:hint="eastAsia" w:cs="宋体"/>
                <w:color w:val="auto"/>
              </w:rPr>
              <w:t>三、本年度办理结果</w:t>
            </w:r>
          </w:p>
        </w:tc>
        <w:tc>
          <w:tcPr>
            <w:tcW w:w="2564" w:type="dxa"/>
            <w:gridSpan w:val="2"/>
            <w:vAlign w:val="center"/>
          </w:tcPr>
          <w:p>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color w:val="auto"/>
              </w:rPr>
            </w:pPr>
            <w:r>
              <w:rPr>
                <w:rFonts w:hint="eastAsia" w:cs="宋体"/>
                <w:color w:val="auto"/>
              </w:rPr>
              <w:t>（一）予以公开</w:t>
            </w:r>
          </w:p>
        </w:tc>
        <w:tc>
          <w:tcPr>
            <w:tcW w:w="709" w:type="dxa"/>
            <w:vAlign w:val="center"/>
          </w:tcPr>
          <w:p>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color w:val="auto"/>
              </w:rPr>
            </w:pPr>
            <w:r>
              <w:rPr>
                <w:color w:val="auto"/>
              </w:rPr>
              <w:t>4</w:t>
            </w:r>
          </w:p>
        </w:tc>
        <w:tc>
          <w:tcPr>
            <w:tcW w:w="707" w:type="dxa"/>
            <w:vAlign w:val="center"/>
          </w:tcPr>
          <w:p>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color w:val="auto"/>
              </w:rPr>
            </w:pPr>
            <w:r>
              <w:rPr>
                <w:color w:val="auto"/>
              </w:rPr>
              <w:t>0</w:t>
            </w:r>
          </w:p>
        </w:tc>
        <w:tc>
          <w:tcPr>
            <w:tcW w:w="707" w:type="dxa"/>
            <w:vAlign w:val="center"/>
          </w:tcPr>
          <w:p>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color w:val="auto"/>
              </w:rPr>
            </w:pPr>
            <w:r>
              <w:rPr>
                <w:color w:val="auto"/>
              </w:rPr>
              <w:t>0</w:t>
            </w:r>
          </w:p>
        </w:tc>
        <w:tc>
          <w:tcPr>
            <w:tcW w:w="776" w:type="dxa"/>
            <w:vAlign w:val="center"/>
          </w:tcPr>
          <w:p>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color w:val="auto"/>
              </w:rPr>
            </w:pPr>
            <w:r>
              <w:rPr>
                <w:color w:val="auto"/>
              </w:rPr>
              <w:t>0</w:t>
            </w:r>
          </w:p>
        </w:tc>
        <w:tc>
          <w:tcPr>
            <w:tcW w:w="819" w:type="dxa"/>
            <w:vAlign w:val="center"/>
          </w:tcPr>
          <w:p>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color w:val="auto"/>
              </w:rPr>
            </w:pPr>
            <w:r>
              <w:rPr>
                <w:color w:val="auto"/>
              </w:rPr>
              <w:t>0</w:t>
            </w:r>
          </w:p>
        </w:tc>
        <w:tc>
          <w:tcPr>
            <w:tcW w:w="707" w:type="dxa"/>
            <w:vAlign w:val="center"/>
          </w:tcPr>
          <w:p>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color w:val="auto"/>
              </w:rPr>
            </w:pPr>
            <w:r>
              <w:rPr>
                <w:color w:val="auto"/>
              </w:rPr>
              <w:t>0</w:t>
            </w:r>
          </w:p>
        </w:tc>
        <w:tc>
          <w:tcPr>
            <w:tcW w:w="707" w:type="dxa"/>
            <w:vAlign w:val="center"/>
          </w:tcPr>
          <w:p>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color w:val="auto"/>
              </w:rPr>
            </w:pPr>
            <w:r>
              <w:rPr>
                <w:color w:val="auto"/>
              </w:rPr>
              <w:t>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525" w:hRule="atLeast"/>
        </w:trPr>
        <w:tc>
          <w:tcPr>
            <w:tcW w:w="826" w:type="dxa"/>
            <w:vMerge w:val="continue"/>
            <w:vAlign w:val="center"/>
          </w:tcPr>
          <w:p>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color w:val="auto"/>
              </w:rPr>
            </w:pPr>
          </w:p>
        </w:tc>
        <w:tc>
          <w:tcPr>
            <w:tcW w:w="2564" w:type="dxa"/>
            <w:gridSpan w:val="2"/>
            <w:vAlign w:val="center"/>
          </w:tcPr>
          <w:p>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color w:val="auto"/>
              </w:rPr>
            </w:pPr>
            <w:r>
              <w:rPr>
                <w:rFonts w:hint="eastAsia" w:cs="宋体"/>
                <w:color w:val="auto"/>
              </w:rPr>
              <w:t>（二）部分公开（区分处理的，只计这一情形，不计其他情形）</w:t>
            </w:r>
          </w:p>
        </w:tc>
        <w:tc>
          <w:tcPr>
            <w:tcW w:w="709" w:type="dxa"/>
            <w:vAlign w:val="center"/>
          </w:tcPr>
          <w:p>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color w:val="auto"/>
              </w:rPr>
            </w:pPr>
            <w:r>
              <w:rPr>
                <w:color w:val="auto"/>
              </w:rPr>
              <w:t>0</w:t>
            </w:r>
          </w:p>
        </w:tc>
        <w:tc>
          <w:tcPr>
            <w:tcW w:w="707" w:type="dxa"/>
            <w:vAlign w:val="center"/>
          </w:tcPr>
          <w:p>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color w:val="auto"/>
              </w:rPr>
            </w:pPr>
            <w:r>
              <w:rPr>
                <w:color w:val="auto"/>
              </w:rPr>
              <w:t>0</w:t>
            </w:r>
          </w:p>
        </w:tc>
        <w:tc>
          <w:tcPr>
            <w:tcW w:w="707" w:type="dxa"/>
            <w:vAlign w:val="center"/>
          </w:tcPr>
          <w:p>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color w:val="auto"/>
              </w:rPr>
            </w:pPr>
            <w:r>
              <w:rPr>
                <w:color w:val="auto"/>
              </w:rPr>
              <w:t>0</w:t>
            </w:r>
          </w:p>
        </w:tc>
        <w:tc>
          <w:tcPr>
            <w:tcW w:w="776" w:type="dxa"/>
            <w:vAlign w:val="center"/>
          </w:tcPr>
          <w:p>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color w:val="auto"/>
              </w:rPr>
            </w:pPr>
            <w:r>
              <w:rPr>
                <w:color w:val="auto"/>
              </w:rPr>
              <w:t>0</w:t>
            </w:r>
          </w:p>
        </w:tc>
        <w:tc>
          <w:tcPr>
            <w:tcW w:w="819" w:type="dxa"/>
            <w:vAlign w:val="center"/>
          </w:tcPr>
          <w:p>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color w:val="auto"/>
              </w:rPr>
            </w:pPr>
            <w:r>
              <w:rPr>
                <w:color w:val="auto"/>
              </w:rPr>
              <w:t>0</w:t>
            </w:r>
          </w:p>
        </w:tc>
        <w:tc>
          <w:tcPr>
            <w:tcW w:w="707" w:type="dxa"/>
            <w:vAlign w:val="center"/>
          </w:tcPr>
          <w:p>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color w:val="auto"/>
              </w:rPr>
            </w:pPr>
            <w:r>
              <w:rPr>
                <w:color w:val="auto"/>
              </w:rPr>
              <w:t>0</w:t>
            </w:r>
          </w:p>
        </w:tc>
        <w:tc>
          <w:tcPr>
            <w:tcW w:w="707" w:type="dxa"/>
            <w:vAlign w:val="center"/>
          </w:tcPr>
          <w:p>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color w:val="auto"/>
              </w:rPr>
            </w:pPr>
            <w:r>
              <w:rPr>
                <w:color w:val="auto"/>
              </w:rPr>
              <w:t>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60" w:hRule="atLeast"/>
        </w:trPr>
        <w:tc>
          <w:tcPr>
            <w:tcW w:w="826" w:type="dxa"/>
            <w:vMerge w:val="continue"/>
            <w:vAlign w:val="center"/>
          </w:tcPr>
          <w:p>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color w:val="auto"/>
              </w:rPr>
            </w:pPr>
          </w:p>
        </w:tc>
        <w:tc>
          <w:tcPr>
            <w:tcW w:w="878" w:type="dxa"/>
            <w:vMerge w:val="restart"/>
            <w:vAlign w:val="center"/>
          </w:tcPr>
          <w:p>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color w:val="auto"/>
              </w:rPr>
            </w:pPr>
            <w:r>
              <w:rPr>
                <w:rFonts w:hint="eastAsia" w:cs="宋体"/>
                <w:color w:val="auto"/>
              </w:rPr>
              <w:t>（三）不予公开</w:t>
            </w:r>
          </w:p>
        </w:tc>
        <w:tc>
          <w:tcPr>
            <w:tcW w:w="1686" w:type="dxa"/>
            <w:vAlign w:val="center"/>
          </w:tcPr>
          <w:p>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color w:val="auto"/>
              </w:rPr>
            </w:pPr>
            <w:r>
              <w:rPr>
                <w:color w:val="auto"/>
              </w:rPr>
              <w:t>1.</w:t>
            </w:r>
            <w:r>
              <w:rPr>
                <w:rFonts w:hint="eastAsia" w:cs="宋体"/>
                <w:color w:val="auto"/>
              </w:rPr>
              <w:t>属于国家秘密</w:t>
            </w:r>
          </w:p>
        </w:tc>
        <w:tc>
          <w:tcPr>
            <w:tcW w:w="709" w:type="dxa"/>
            <w:vAlign w:val="center"/>
          </w:tcPr>
          <w:p>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color w:val="auto"/>
              </w:rPr>
            </w:pPr>
            <w:r>
              <w:rPr>
                <w:color w:val="auto"/>
              </w:rPr>
              <w:t>0</w:t>
            </w:r>
          </w:p>
        </w:tc>
        <w:tc>
          <w:tcPr>
            <w:tcW w:w="707" w:type="dxa"/>
            <w:vAlign w:val="center"/>
          </w:tcPr>
          <w:p>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color w:val="auto"/>
              </w:rPr>
            </w:pPr>
            <w:r>
              <w:rPr>
                <w:color w:val="auto"/>
              </w:rPr>
              <w:t>0</w:t>
            </w:r>
          </w:p>
        </w:tc>
        <w:tc>
          <w:tcPr>
            <w:tcW w:w="707" w:type="dxa"/>
            <w:vAlign w:val="center"/>
          </w:tcPr>
          <w:p>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color w:val="auto"/>
              </w:rPr>
            </w:pPr>
            <w:r>
              <w:rPr>
                <w:color w:val="auto"/>
              </w:rPr>
              <w:t>0</w:t>
            </w:r>
          </w:p>
        </w:tc>
        <w:tc>
          <w:tcPr>
            <w:tcW w:w="776" w:type="dxa"/>
            <w:vAlign w:val="center"/>
          </w:tcPr>
          <w:p>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color w:val="auto"/>
              </w:rPr>
            </w:pPr>
            <w:r>
              <w:rPr>
                <w:color w:val="auto"/>
              </w:rPr>
              <w:t>0</w:t>
            </w:r>
          </w:p>
        </w:tc>
        <w:tc>
          <w:tcPr>
            <w:tcW w:w="819" w:type="dxa"/>
            <w:vAlign w:val="center"/>
          </w:tcPr>
          <w:p>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color w:val="auto"/>
              </w:rPr>
            </w:pPr>
            <w:r>
              <w:rPr>
                <w:color w:val="auto"/>
              </w:rPr>
              <w:t>0</w:t>
            </w:r>
          </w:p>
        </w:tc>
        <w:tc>
          <w:tcPr>
            <w:tcW w:w="707" w:type="dxa"/>
            <w:vAlign w:val="center"/>
          </w:tcPr>
          <w:p>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color w:val="auto"/>
              </w:rPr>
            </w:pPr>
            <w:r>
              <w:rPr>
                <w:color w:val="auto"/>
              </w:rPr>
              <w:t>0</w:t>
            </w:r>
          </w:p>
        </w:tc>
        <w:tc>
          <w:tcPr>
            <w:tcW w:w="707" w:type="dxa"/>
            <w:vAlign w:val="center"/>
          </w:tcPr>
          <w:p>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color w:val="auto"/>
              </w:rPr>
            </w:pPr>
            <w:r>
              <w:rPr>
                <w:color w:val="auto"/>
              </w:rPr>
              <w:t>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60" w:hRule="atLeast"/>
        </w:trPr>
        <w:tc>
          <w:tcPr>
            <w:tcW w:w="826" w:type="dxa"/>
            <w:vMerge w:val="continue"/>
            <w:vAlign w:val="center"/>
          </w:tcPr>
          <w:p>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color w:val="auto"/>
              </w:rPr>
            </w:pPr>
          </w:p>
        </w:tc>
        <w:tc>
          <w:tcPr>
            <w:tcW w:w="878" w:type="dxa"/>
            <w:vMerge w:val="continue"/>
            <w:vAlign w:val="center"/>
          </w:tcPr>
          <w:p>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color w:val="auto"/>
              </w:rPr>
            </w:pPr>
          </w:p>
        </w:tc>
        <w:tc>
          <w:tcPr>
            <w:tcW w:w="1686" w:type="dxa"/>
            <w:vAlign w:val="center"/>
          </w:tcPr>
          <w:p>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color w:val="auto"/>
              </w:rPr>
            </w:pPr>
            <w:r>
              <w:rPr>
                <w:color w:val="auto"/>
              </w:rPr>
              <w:t>2.</w:t>
            </w:r>
            <w:r>
              <w:rPr>
                <w:rFonts w:hint="eastAsia" w:cs="宋体"/>
                <w:color w:val="auto"/>
              </w:rPr>
              <w:t>其他法律行政法规禁止公开</w:t>
            </w:r>
          </w:p>
        </w:tc>
        <w:tc>
          <w:tcPr>
            <w:tcW w:w="709" w:type="dxa"/>
            <w:vAlign w:val="center"/>
          </w:tcPr>
          <w:p>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color w:val="auto"/>
              </w:rPr>
            </w:pPr>
            <w:r>
              <w:rPr>
                <w:color w:val="auto"/>
              </w:rPr>
              <w:t>0</w:t>
            </w:r>
          </w:p>
        </w:tc>
        <w:tc>
          <w:tcPr>
            <w:tcW w:w="707" w:type="dxa"/>
            <w:vAlign w:val="center"/>
          </w:tcPr>
          <w:p>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color w:val="auto"/>
              </w:rPr>
            </w:pPr>
            <w:r>
              <w:rPr>
                <w:color w:val="auto"/>
              </w:rPr>
              <w:t>0</w:t>
            </w:r>
          </w:p>
        </w:tc>
        <w:tc>
          <w:tcPr>
            <w:tcW w:w="707" w:type="dxa"/>
            <w:vAlign w:val="center"/>
          </w:tcPr>
          <w:p>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color w:val="auto"/>
              </w:rPr>
            </w:pPr>
            <w:r>
              <w:rPr>
                <w:color w:val="auto"/>
              </w:rPr>
              <w:t>0</w:t>
            </w:r>
          </w:p>
        </w:tc>
        <w:tc>
          <w:tcPr>
            <w:tcW w:w="776" w:type="dxa"/>
            <w:vAlign w:val="center"/>
          </w:tcPr>
          <w:p>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color w:val="auto"/>
              </w:rPr>
            </w:pPr>
            <w:r>
              <w:rPr>
                <w:color w:val="auto"/>
              </w:rPr>
              <w:t>0</w:t>
            </w:r>
          </w:p>
        </w:tc>
        <w:tc>
          <w:tcPr>
            <w:tcW w:w="819" w:type="dxa"/>
            <w:vAlign w:val="center"/>
          </w:tcPr>
          <w:p>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color w:val="auto"/>
              </w:rPr>
            </w:pPr>
            <w:r>
              <w:rPr>
                <w:color w:val="auto"/>
              </w:rPr>
              <w:t>0</w:t>
            </w:r>
          </w:p>
        </w:tc>
        <w:tc>
          <w:tcPr>
            <w:tcW w:w="707" w:type="dxa"/>
            <w:vAlign w:val="center"/>
          </w:tcPr>
          <w:p>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color w:val="auto"/>
              </w:rPr>
            </w:pPr>
            <w:r>
              <w:rPr>
                <w:color w:val="auto"/>
              </w:rPr>
              <w:t>0</w:t>
            </w:r>
          </w:p>
        </w:tc>
        <w:tc>
          <w:tcPr>
            <w:tcW w:w="707" w:type="dxa"/>
            <w:vAlign w:val="center"/>
          </w:tcPr>
          <w:p>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color w:val="auto"/>
              </w:rPr>
            </w:pPr>
            <w:r>
              <w:rPr>
                <w:color w:val="auto"/>
              </w:rPr>
              <w:t>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60" w:hRule="atLeast"/>
        </w:trPr>
        <w:tc>
          <w:tcPr>
            <w:tcW w:w="826" w:type="dxa"/>
            <w:vMerge w:val="continue"/>
            <w:vAlign w:val="center"/>
          </w:tcPr>
          <w:p>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color w:val="auto"/>
              </w:rPr>
            </w:pPr>
          </w:p>
        </w:tc>
        <w:tc>
          <w:tcPr>
            <w:tcW w:w="878" w:type="dxa"/>
            <w:vMerge w:val="continue"/>
            <w:vAlign w:val="center"/>
          </w:tcPr>
          <w:p>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color w:val="auto"/>
              </w:rPr>
            </w:pPr>
          </w:p>
        </w:tc>
        <w:tc>
          <w:tcPr>
            <w:tcW w:w="1686" w:type="dxa"/>
            <w:vAlign w:val="center"/>
          </w:tcPr>
          <w:p>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color w:val="auto"/>
              </w:rPr>
            </w:pPr>
            <w:r>
              <w:rPr>
                <w:color w:val="auto"/>
              </w:rPr>
              <w:t>3.</w:t>
            </w:r>
            <w:r>
              <w:rPr>
                <w:rFonts w:hint="eastAsia" w:cs="宋体"/>
                <w:color w:val="auto"/>
              </w:rPr>
              <w:t>危及“三安全一稳定”</w:t>
            </w:r>
          </w:p>
        </w:tc>
        <w:tc>
          <w:tcPr>
            <w:tcW w:w="709" w:type="dxa"/>
            <w:vAlign w:val="center"/>
          </w:tcPr>
          <w:p>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color w:val="auto"/>
              </w:rPr>
            </w:pPr>
            <w:r>
              <w:rPr>
                <w:color w:val="auto"/>
              </w:rPr>
              <w:t>0</w:t>
            </w:r>
          </w:p>
        </w:tc>
        <w:tc>
          <w:tcPr>
            <w:tcW w:w="707" w:type="dxa"/>
            <w:vAlign w:val="center"/>
          </w:tcPr>
          <w:p>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color w:val="auto"/>
              </w:rPr>
            </w:pPr>
            <w:r>
              <w:rPr>
                <w:color w:val="auto"/>
              </w:rPr>
              <w:t>0</w:t>
            </w:r>
          </w:p>
        </w:tc>
        <w:tc>
          <w:tcPr>
            <w:tcW w:w="707" w:type="dxa"/>
            <w:vAlign w:val="center"/>
          </w:tcPr>
          <w:p>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color w:val="auto"/>
              </w:rPr>
            </w:pPr>
            <w:r>
              <w:rPr>
                <w:color w:val="auto"/>
              </w:rPr>
              <w:t>0</w:t>
            </w:r>
          </w:p>
        </w:tc>
        <w:tc>
          <w:tcPr>
            <w:tcW w:w="776" w:type="dxa"/>
            <w:vAlign w:val="center"/>
          </w:tcPr>
          <w:p>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color w:val="auto"/>
              </w:rPr>
            </w:pPr>
            <w:r>
              <w:rPr>
                <w:color w:val="auto"/>
              </w:rPr>
              <w:t>0</w:t>
            </w:r>
          </w:p>
        </w:tc>
        <w:tc>
          <w:tcPr>
            <w:tcW w:w="819" w:type="dxa"/>
            <w:vAlign w:val="center"/>
          </w:tcPr>
          <w:p>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color w:val="auto"/>
              </w:rPr>
            </w:pPr>
            <w:r>
              <w:rPr>
                <w:color w:val="auto"/>
              </w:rPr>
              <w:t>0</w:t>
            </w:r>
          </w:p>
        </w:tc>
        <w:tc>
          <w:tcPr>
            <w:tcW w:w="707" w:type="dxa"/>
            <w:vAlign w:val="center"/>
          </w:tcPr>
          <w:p>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color w:val="auto"/>
              </w:rPr>
            </w:pPr>
            <w:r>
              <w:rPr>
                <w:color w:val="auto"/>
              </w:rPr>
              <w:t>0</w:t>
            </w:r>
          </w:p>
        </w:tc>
        <w:tc>
          <w:tcPr>
            <w:tcW w:w="707" w:type="dxa"/>
            <w:vAlign w:val="center"/>
          </w:tcPr>
          <w:p>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color w:val="auto"/>
              </w:rPr>
            </w:pPr>
            <w:r>
              <w:rPr>
                <w:color w:val="auto"/>
              </w:rPr>
              <w:t>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60" w:hRule="atLeast"/>
        </w:trPr>
        <w:tc>
          <w:tcPr>
            <w:tcW w:w="826" w:type="dxa"/>
            <w:vMerge w:val="continue"/>
            <w:vAlign w:val="center"/>
          </w:tcPr>
          <w:p>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color w:val="auto"/>
              </w:rPr>
            </w:pPr>
          </w:p>
        </w:tc>
        <w:tc>
          <w:tcPr>
            <w:tcW w:w="878" w:type="dxa"/>
            <w:vMerge w:val="continue"/>
            <w:vAlign w:val="center"/>
          </w:tcPr>
          <w:p>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color w:val="auto"/>
              </w:rPr>
            </w:pPr>
          </w:p>
        </w:tc>
        <w:tc>
          <w:tcPr>
            <w:tcW w:w="1686" w:type="dxa"/>
            <w:vAlign w:val="center"/>
          </w:tcPr>
          <w:p>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color w:val="auto"/>
              </w:rPr>
            </w:pPr>
            <w:r>
              <w:rPr>
                <w:color w:val="auto"/>
              </w:rPr>
              <w:t>4.</w:t>
            </w:r>
            <w:r>
              <w:rPr>
                <w:rFonts w:hint="eastAsia" w:cs="宋体"/>
                <w:color w:val="auto"/>
              </w:rPr>
              <w:t>保护第三方合法权益</w:t>
            </w:r>
          </w:p>
        </w:tc>
        <w:tc>
          <w:tcPr>
            <w:tcW w:w="709" w:type="dxa"/>
            <w:vAlign w:val="center"/>
          </w:tcPr>
          <w:p>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color w:val="auto"/>
              </w:rPr>
            </w:pPr>
            <w:r>
              <w:rPr>
                <w:color w:val="auto"/>
              </w:rPr>
              <w:t>0</w:t>
            </w:r>
          </w:p>
        </w:tc>
        <w:tc>
          <w:tcPr>
            <w:tcW w:w="707" w:type="dxa"/>
            <w:vAlign w:val="center"/>
          </w:tcPr>
          <w:p>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color w:val="auto"/>
              </w:rPr>
            </w:pPr>
            <w:r>
              <w:rPr>
                <w:color w:val="auto"/>
              </w:rPr>
              <w:t>0</w:t>
            </w:r>
          </w:p>
        </w:tc>
        <w:tc>
          <w:tcPr>
            <w:tcW w:w="707" w:type="dxa"/>
            <w:vAlign w:val="center"/>
          </w:tcPr>
          <w:p>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color w:val="auto"/>
              </w:rPr>
            </w:pPr>
            <w:r>
              <w:rPr>
                <w:color w:val="auto"/>
              </w:rPr>
              <w:t>0</w:t>
            </w:r>
          </w:p>
        </w:tc>
        <w:tc>
          <w:tcPr>
            <w:tcW w:w="776" w:type="dxa"/>
            <w:vAlign w:val="center"/>
          </w:tcPr>
          <w:p>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color w:val="auto"/>
              </w:rPr>
            </w:pPr>
            <w:r>
              <w:rPr>
                <w:color w:val="auto"/>
              </w:rPr>
              <w:t>0</w:t>
            </w:r>
          </w:p>
        </w:tc>
        <w:tc>
          <w:tcPr>
            <w:tcW w:w="819" w:type="dxa"/>
            <w:vAlign w:val="center"/>
          </w:tcPr>
          <w:p>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color w:val="auto"/>
              </w:rPr>
            </w:pPr>
            <w:r>
              <w:rPr>
                <w:color w:val="auto"/>
              </w:rPr>
              <w:t>0</w:t>
            </w:r>
          </w:p>
        </w:tc>
        <w:tc>
          <w:tcPr>
            <w:tcW w:w="707" w:type="dxa"/>
            <w:vAlign w:val="center"/>
          </w:tcPr>
          <w:p>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color w:val="auto"/>
              </w:rPr>
            </w:pPr>
            <w:r>
              <w:rPr>
                <w:color w:val="auto"/>
              </w:rPr>
              <w:t>0</w:t>
            </w:r>
          </w:p>
        </w:tc>
        <w:tc>
          <w:tcPr>
            <w:tcW w:w="707" w:type="dxa"/>
            <w:vAlign w:val="center"/>
          </w:tcPr>
          <w:p>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color w:val="auto"/>
              </w:rPr>
            </w:pPr>
            <w:r>
              <w:rPr>
                <w:color w:val="auto"/>
              </w:rPr>
              <w:t>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60" w:hRule="atLeast"/>
        </w:trPr>
        <w:tc>
          <w:tcPr>
            <w:tcW w:w="826" w:type="dxa"/>
            <w:vMerge w:val="continue"/>
            <w:vAlign w:val="center"/>
          </w:tcPr>
          <w:p>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color w:val="auto"/>
              </w:rPr>
            </w:pPr>
          </w:p>
        </w:tc>
        <w:tc>
          <w:tcPr>
            <w:tcW w:w="878" w:type="dxa"/>
            <w:vMerge w:val="continue"/>
            <w:vAlign w:val="center"/>
          </w:tcPr>
          <w:p>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color w:val="auto"/>
              </w:rPr>
            </w:pPr>
          </w:p>
        </w:tc>
        <w:tc>
          <w:tcPr>
            <w:tcW w:w="1686" w:type="dxa"/>
            <w:vAlign w:val="center"/>
          </w:tcPr>
          <w:p>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color w:val="auto"/>
              </w:rPr>
            </w:pPr>
            <w:r>
              <w:rPr>
                <w:color w:val="auto"/>
              </w:rPr>
              <w:t>5.</w:t>
            </w:r>
            <w:r>
              <w:rPr>
                <w:rFonts w:hint="eastAsia" w:cs="宋体"/>
                <w:color w:val="auto"/>
              </w:rPr>
              <w:t>属于三类内部事务信息</w:t>
            </w:r>
          </w:p>
        </w:tc>
        <w:tc>
          <w:tcPr>
            <w:tcW w:w="709" w:type="dxa"/>
            <w:vAlign w:val="center"/>
          </w:tcPr>
          <w:p>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color w:val="auto"/>
              </w:rPr>
            </w:pPr>
            <w:r>
              <w:rPr>
                <w:color w:val="auto"/>
              </w:rPr>
              <w:t>0</w:t>
            </w:r>
          </w:p>
        </w:tc>
        <w:tc>
          <w:tcPr>
            <w:tcW w:w="707" w:type="dxa"/>
            <w:vAlign w:val="center"/>
          </w:tcPr>
          <w:p>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color w:val="auto"/>
              </w:rPr>
            </w:pPr>
            <w:r>
              <w:rPr>
                <w:color w:val="auto"/>
              </w:rPr>
              <w:t>0</w:t>
            </w:r>
          </w:p>
        </w:tc>
        <w:tc>
          <w:tcPr>
            <w:tcW w:w="707" w:type="dxa"/>
            <w:vAlign w:val="center"/>
          </w:tcPr>
          <w:p>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color w:val="auto"/>
              </w:rPr>
            </w:pPr>
            <w:r>
              <w:rPr>
                <w:color w:val="auto"/>
              </w:rPr>
              <w:t>0</w:t>
            </w:r>
          </w:p>
        </w:tc>
        <w:tc>
          <w:tcPr>
            <w:tcW w:w="776" w:type="dxa"/>
            <w:vAlign w:val="center"/>
          </w:tcPr>
          <w:p>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color w:val="auto"/>
              </w:rPr>
            </w:pPr>
            <w:r>
              <w:rPr>
                <w:color w:val="auto"/>
              </w:rPr>
              <w:t>0</w:t>
            </w:r>
          </w:p>
        </w:tc>
        <w:tc>
          <w:tcPr>
            <w:tcW w:w="819" w:type="dxa"/>
            <w:vAlign w:val="center"/>
          </w:tcPr>
          <w:p>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color w:val="auto"/>
              </w:rPr>
            </w:pPr>
            <w:r>
              <w:rPr>
                <w:color w:val="auto"/>
              </w:rPr>
              <w:t>0</w:t>
            </w:r>
          </w:p>
        </w:tc>
        <w:tc>
          <w:tcPr>
            <w:tcW w:w="707" w:type="dxa"/>
            <w:vAlign w:val="center"/>
          </w:tcPr>
          <w:p>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color w:val="auto"/>
              </w:rPr>
            </w:pPr>
            <w:r>
              <w:rPr>
                <w:color w:val="auto"/>
              </w:rPr>
              <w:t>0</w:t>
            </w:r>
          </w:p>
        </w:tc>
        <w:tc>
          <w:tcPr>
            <w:tcW w:w="707" w:type="dxa"/>
            <w:vAlign w:val="center"/>
          </w:tcPr>
          <w:p>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color w:val="auto"/>
              </w:rPr>
            </w:pPr>
            <w:r>
              <w:rPr>
                <w:color w:val="auto"/>
              </w:rPr>
              <w:t>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60" w:hRule="atLeast"/>
        </w:trPr>
        <w:tc>
          <w:tcPr>
            <w:tcW w:w="826" w:type="dxa"/>
            <w:vMerge w:val="continue"/>
            <w:vAlign w:val="center"/>
          </w:tcPr>
          <w:p>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color w:val="auto"/>
              </w:rPr>
            </w:pPr>
          </w:p>
        </w:tc>
        <w:tc>
          <w:tcPr>
            <w:tcW w:w="878" w:type="dxa"/>
            <w:vMerge w:val="continue"/>
            <w:vAlign w:val="center"/>
          </w:tcPr>
          <w:p>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color w:val="auto"/>
              </w:rPr>
            </w:pPr>
          </w:p>
        </w:tc>
        <w:tc>
          <w:tcPr>
            <w:tcW w:w="1686" w:type="dxa"/>
            <w:vAlign w:val="center"/>
          </w:tcPr>
          <w:p>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color w:val="auto"/>
              </w:rPr>
            </w:pPr>
            <w:r>
              <w:rPr>
                <w:color w:val="auto"/>
              </w:rPr>
              <w:t>6.</w:t>
            </w:r>
            <w:r>
              <w:rPr>
                <w:rFonts w:hint="eastAsia" w:cs="宋体"/>
                <w:color w:val="auto"/>
              </w:rPr>
              <w:t>属于四类过程性信息</w:t>
            </w:r>
          </w:p>
        </w:tc>
        <w:tc>
          <w:tcPr>
            <w:tcW w:w="709" w:type="dxa"/>
            <w:vAlign w:val="center"/>
          </w:tcPr>
          <w:p>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color w:val="auto"/>
              </w:rPr>
            </w:pPr>
            <w:r>
              <w:rPr>
                <w:color w:val="auto"/>
              </w:rPr>
              <w:t>0</w:t>
            </w:r>
          </w:p>
        </w:tc>
        <w:tc>
          <w:tcPr>
            <w:tcW w:w="707" w:type="dxa"/>
            <w:vAlign w:val="center"/>
          </w:tcPr>
          <w:p>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color w:val="auto"/>
              </w:rPr>
            </w:pPr>
            <w:r>
              <w:rPr>
                <w:color w:val="auto"/>
              </w:rPr>
              <w:t>0</w:t>
            </w:r>
          </w:p>
        </w:tc>
        <w:tc>
          <w:tcPr>
            <w:tcW w:w="707" w:type="dxa"/>
            <w:vAlign w:val="center"/>
          </w:tcPr>
          <w:p>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color w:val="auto"/>
              </w:rPr>
            </w:pPr>
            <w:r>
              <w:rPr>
                <w:color w:val="auto"/>
              </w:rPr>
              <w:t>0</w:t>
            </w:r>
          </w:p>
        </w:tc>
        <w:tc>
          <w:tcPr>
            <w:tcW w:w="776" w:type="dxa"/>
            <w:vAlign w:val="center"/>
          </w:tcPr>
          <w:p>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color w:val="auto"/>
              </w:rPr>
            </w:pPr>
            <w:r>
              <w:rPr>
                <w:color w:val="auto"/>
              </w:rPr>
              <w:t>0</w:t>
            </w:r>
          </w:p>
        </w:tc>
        <w:tc>
          <w:tcPr>
            <w:tcW w:w="819" w:type="dxa"/>
            <w:vAlign w:val="center"/>
          </w:tcPr>
          <w:p>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color w:val="auto"/>
              </w:rPr>
            </w:pPr>
            <w:r>
              <w:rPr>
                <w:color w:val="auto"/>
              </w:rPr>
              <w:t>0</w:t>
            </w:r>
          </w:p>
        </w:tc>
        <w:tc>
          <w:tcPr>
            <w:tcW w:w="707" w:type="dxa"/>
            <w:vAlign w:val="center"/>
          </w:tcPr>
          <w:p>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color w:val="auto"/>
              </w:rPr>
            </w:pPr>
            <w:r>
              <w:rPr>
                <w:color w:val="auto"/>
              </w:rPr>
              <w:t>0</w:t>
            </w:r>
          </w:p>
        </w:tc>
        <w:tc>
          <w:tcPr>
            <w:tcW w:w="707" w:type="dxa"/>
            <w:vAlign w:val="center"/>
          </w:tcPr>
          <w:p>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color w:val="auto"/>
              </w:rPr>
            </w:pPr>
            <w:r>
              <w:rPr>
                <w:color w:val="auto"/>
              </w:rPr>
              <w:t>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60" w:hRule="atLeast"/>
        </w:trPr>
        <w:tc>
          <w:tcPr>
            <w:tcW w:w="826" w:type="dxa"/>
            <w:vMerge w:val="continue"/>
            <w:vAlign w:val="center"/>
          </w:tcPr>
          <w:p>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color w:val="auto"/>
              </w:rPr>
            </w:pPr>
          </w:p>
        </w:tc>
        <w:tc>
          <w:tcPr>
            <w:tcW w:w="878" w:type="dxa"/>
            <w:vMerge w:val="continue"/>
            <w:vAlign w:val="center"/>
          </w:tcPr>
          <w:p>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color w:val="auto"/>
              </w:rPr>
            </w:pPr>
          </w:p>
        </w:tc>
        <w:tc>
          <w:tcPr>
            <w:tcW w:w="1686" w:type="dxa"/>
            <w:vAlign w:val="center"/>
          </w:tcPr>
          <w:p>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color w:val="auto"/>
              </w:rPr>
            </w:pPr>
            <w:r>
              <w:rPr>
                <w:color w:val="auto"/>
              </w:rPr>
              <w:t>7.</w:t>
            </w:r>
            <w:r>
              <w:rPr>
                <w:rFonts w:hint="eastAsia" w:cs="宋体"/>
                <w:color w:val="auto"/>
              </w:rPr>
              <w:t>属于行政执法案卷</w:t>
            </w:r>
          </w:p>
        </w:tc>
        <w:tc>
          <w:tcPr>
            <w:tcW w:w="709" w:type="dxa"/>
            <w:vAlign w:val="center"/>
          </w:tcPr>
          <w:p>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color w:val="auto"/>
              </w:rPr>
            </w:pPr>
            <w:r>
              <w:rPr>
                <w:color w:val="auto"/>
              </w:rPr>
              <w:t>0</w:t>
            </w:r>
          </w:p>
        </w:tc>
        <w:tc>
          <w:tcPr>
            <w:tcW w:w="707" w:type="dxa"/>
            <w:vAlign w:val="center"/>
          </w:tcPr>
          <w:p>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color w:val="auto"/>
              </w:rPr>
            </w:pPr>
            <w:r>
              <w:rPr>
                <w:color w:val="auto"/>
              </w:rPr>
              <w:t>0</w:t>
            </w:r>
          </w:p>
        </w:tc>
        <w:tc>
          <w:tcPr>
            <w:tcW w:w="707" w:type="dxa"/>
            <w:vAlign w:val="center"/>
          </w:tcPr>
          <w:p>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color w:val="auto"/>
              </w:rPr>
            </w:pPr>
            <w:r>
              <w:rPr>
                <w:color w:val="auto"/>
              </w:rPr>
              <w:t>0</w:t>
            </w:r>
          </w:p>
        </w:tc>
        <w:tc>
          <w:tcPr>
            <w:tcW w:w="776" w:type="dxa"/>
            <w:vAlign w:val="center"/>
          </w:tcPr>
          <w:p>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color w:val="auto"/>
              </w:rPr>
            </w:pPr>
            <w:r>
              <w:rPr>
                <w:color w:val="auto"/>
              </w:rPr>
              <w:t>0</w:t>
            </w:r>
          </w:p>
        </w:tc>
        <w:tc>
          <w:tcPr>
            <w:tcW w:w="819" w:type="dxa"/>
            <w:vAlign w:val="center"/>
          </w:tcPr>
          <w:p>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color w:val="auto"/>
              </w:rPr>
            </w:pPr>
            <w:r>
              <w:rPr>
                <w:color w:val="auto"/>
              </w:rPr>
              <w:t>0</w:t>
            </w:r>
          </w:p>
        </w:tc>
        <w:tc>
          <w:tcPr>
            <w:tcW w:w="707" w:type="dxa"/>
            <w:vAlign w:val="center"/>
          </w:tcPr>
          <w:p>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color w:val="auto"/>
              </w:rPr>
            </w:pPr>
            <w:r>
              <w:rPr>
                <w:color w:val="auto"/>
              </w:rPr>
              <w:t>0</w:t>
            </w:r>
          </w:p>
        </w:tc>
        <w:tc>
          <w:tcPr>
            <w:tcW w:w="707" w:type="dxa"/>
            <w:vAlign w:val="center"/>
          </w:tcPr>
          <w:p>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color w:val="auto"/>
              </w:rPr>
            </w:pPr>
            <w:r>
              <w:rPr>
                <w:color w:val="auto"/>
              </w:rPr>
              <w:t>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60" w:hRule="atLeast"/>
        </w:trPr>
        <w:tc>
          <w:tcPr>
            <w:tcW w:w="826" w:type="dxa"/>
            <w:vMerge w:val="continue"/>
            <w:vAlign w:val="center"/>
          </w:tcPr>
          <w:p>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color w:val="auto"/>
              </w:rPr>
            </w:pPr>
          </w:p>
        </w:tc>
        <w:tc>
          <w:tcPr>
            <w:tcW w:w="878" w:type="dxa"/>
            <w:vMerge w:val="continue"/>
            <w:vAlign w:val="center"/>
          </w:tcPr>
          <w:p>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color w:val="auto"/>
              </w:rPr>
            </w:pPr>
          </w:p>
        </w:tc>
        <w:tc>
          <w:tcPr>
            <w:tcW w:w="1686" w:type="dxa"/>
            <w:vAlign w:val="center"/>
          </w:tcPr>
          <w:p>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color w:val="auto"/>
              </w:rPr>
            </w:pPr>
            <w:r>
              <w:rPr>
                <w:color w:val="auto"/>
              </w:rPr>
              <w:t>8.</w:t>
            </w:r>
            <w:r>
              <w:rPr>
                <w:rFonts w:hint="eastAsia" w:cs="宋体"/>
                <w:color w:val="auto"/>
              </w:rPr>
              <w:t>属于行政查询事项</w:t>
            </w:r>
          </w:p>
        </w:tc>
        <w:tc>
          <w:tcPr>
            <w:tcW w:w="709" w:type="dxa"/>
            <w:vAlign w:val="center"/>
          </w:tcPr>
          <w:p>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color w:val="auto"/>
              </w:rPr>
            </w:pPr>
            <w:r>
              <w:rPr>
                <w:color w:val="auto"/>
              </w:rPr>
              <w:t>0</w:t>
            </w:r>
          </w:p>
        </w:tc>
        <w:tc>
          <w:tcPr>
            <w:tcW w:w="707" w:type="dxa"/>
            <w:vAlign w:val="center"/>
          </w:tcPr>
          <w:p>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color w:val="auto"/>
              </w:rPr>
            </w:pPr>
            <w:r>
              <w:rPr>
                <w:color w:val="auto"/>
              </w:rPr>
              <w:t>0</w:t>
            </w:r>
          </w:p>
        </w:tc>
        <w:tc>
          <w:tcPr>
            <w:tcW w:w="707" w:type="dxa"/>
            <w:vAlign w:val="center"/>
          </w:tcPr>
          <w:p>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color w:val="auto"/>
              </w:rPr>
            </w:pPr>
            <w:r>
              <w:rPr>
                <w:color w:val="auto"/>
              </w:rPr>
              <w:t>0</w:t>
            </w:r>
          </w:p>
        </w:tc>
        <w:tc>
          <w:tcPr>
            <w:tcW w:w="776" w:type="dxa"/>
            <w:vAlign w:val="center"/>
          </w:tcPr>
          <w:p>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color w:val="auto"/>
              </w:rPr>
            </w:pPr>
            <w:r>
              <w:rPr>
                <w:color w:val="auto"/>
              </w:rPr>
              <w:t>0</w:t>
            </w:r>
          </w:p>
        </w:tc>
        <w:tc>
          <w:tcPr>
            <w:tcW w:w="819" w:type="dxa"/>
            <w:vAlign w:val="center"/>
          </w:tcPr>
          <w:p>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color w:val="auto"/>
              </w:rPr>
            </w:pPr>
            <w:r>
              <w:rPr>
                <w:color w:val="auto"/>
              </w:rPr>
              <w:t>0</w:t>
            </w:r>
          </w:p>
        </w:tc>
        <w:tc>
          <w:tcPr>
            <w:tcW w:w="707" w:type="dxa"/>
            <w:vAlign w:val="center"/>
          </w:tcPr>
          <w:p>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color w:val="auto"/>
              </w:rPr>
            </w:pPr>
            <w:r>
              <w:rPr>
                <w:color w:val="auto"/>
              </w:rPr>
              <w:t>0</w:t>
            </w:r>
          </w:p>
        </w:tc>
        <w:tc>
          <w:tcPr>
            <w:tcW w:w="707" w:type="dxa"/>
            <w:vAlign w:val="center"/>
          </w:tcPr>
          <w:p>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color w:val="auto"/>
              </w:rPr>
            </w:pPr>
            <w:r>
              <w:rPr>
                <w:color w:val="auto"/>
              </w:rPr>
              <w:t>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60" w:hRule="atLeast"/>
        </w:trPr>
        <w:tc>
          <w:tcPr>
            <w:tcW w:w="826" w:type="dxa"/>
            <w:vMerge w:val="continue"/>
            <w:vAlign w:val="center"/>
          </w:tcPr>
          <w:p>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color w:val="auto"/>
              </w:rPr>
            </w:pPr>
          </w:p>
        </w:tc>
        <w:tc>
          <w:tcPr>
            <w:tcW w:w="878" w:type="dxa"/>
            <w:vMerge w:val="restart"/>
            <w:vAlign w:val="center"/>
          </w:tcPr>
          <w:p>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color w:val="auto"/>
              </w:rPr>
            </w:pPr>
            <w:r>
              <w:rPr>
                <w:rFonts w:hint="eastAsia" w:cs="宋体"/>
                <w:color w:val="auto"/>
              </w:rPr>
              <w:t>（四）无法提供</w:t>
            </w:r>
          </w:p>
        </w:tc>
        <w:tc>
          <w:tcPr>
            <w:tcW w:w="1686" w:type="dxa"/>
            <w:vAlign w:val="center"/>
          </w:tcPr>
          <w:p>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color w:val="auto"/>
              </w:rPr>
            </w:pPr>
            <w:r>
              <w:rPr>
                <w:color w:val="auto"/>
              </w:rPr>
              <w:t>1.</w:t>
            </w:r>
            <w:r>
              <w:rPr>
                <w:rFonts w:hint="eastAsia" w:cs="宋体"/>
                <w:color w:val="auto"/>
              </w:rPr>
              <w:t>本机关不掌握相关政府信息</w:t>
            </w:r>
          </w:p>
        </w:tc>
        <w:tc>
          <w:tcPr>
            <w:tcW w:w="709" w:type="dxa"/>
            <w:vAlign w:val="center"/>
          </w:tcPr>
          <w:p>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color w:val="auto"/>
              </w:rPr>
            </w:pPr>
            <w:r>
              <w:rPr>
                <w:color w:val="auto"/>
              </w:rPr>
              <w:t>2</w:t>
            </w:r>
          </w:p>
        </w:tc>
        <w:tc>
          <w:tcPr>
            <w:tcW w:w="707" w:type="dxa"/>
            <w:vAlign w:val="center"/>
          </w:tcPr>
          <w:p>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color w:val="auto"/>
              </w:rPr>
            </w:pPr>
            <w:r>
              <w:rPr>
                <w:color w:val="auto"/>
              </w:rPr>
              <w:t>0</w:t>
            </w:r>
          </w:p>
        </w:tc>
        <w:tc>
          <w:tcPr>
            <w:tcW w:w="707" w:type="dxa"/>
            <w:vAlign w:val="center"/>
          </w:tcPr>
          <w:p>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color w:val="auto"/>
              </w:rPr>
            </w:pPr>
            <w:r>
              <w:rPr>
                <w:color w:val="auto"/>
              </w:rPr>
              <w:t>0</w:t>
            </w:r>
          </w:p>
        </w:tc>
        <w:tc>
          <w:tcPr>
            <w:tcW w:w="776" w:type="dxa"/>
            <w:vAlign w:val="center"/>
          </w:tcPr>
          <w:p>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color w:val="auto"/>
              </w:rPr>
            </w:pPr>
            <w:r>
              <w:rPr>
                <w:color w:val="auto"/>
              </w:rPr>
              <w:t>0</w:t>
            </w:r>
          </w:p>
        </w:tc>
        <w:tc>
          <w:tcPr>
            <w:tcW w:w="819" w:type="dxa"/>
            <w:vAlign w:val="center"/>
          </w:tcPr>
          <w:p>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color w:val="auto"/>
              </w:rPr>
            </w:pPr>
            <w:r>
              <w:rPr>
                <w:color w:val="auto"/>
              </w:rPr>
              <w:t>0</w:t>
            </w:r>
          </w:p>
        </w:tc>
        <w:tc>
          <w:tcPr>
            <w:tcW w:w="707" w:type="dxa"/>
            <w:vAlign w:val="center"/>
          </w:tcPr>
          <w:p>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color w:val="auto"/>
              </w:rPr>
            </w:pPr>
            <w:r>
              <w:rPr>
                <w:color w:val="auto"/>
              </w:rPr>
              <w:t>0</w:t>
            </w:r>
          </w:p>
        </w:tc>
        <w:tc>
          <w:tcPr>
            <w:tcW w:w="707" w:type="dxa"/>
            <w:vAlign w:val="center"/>
          </w:tcPr>
          <w:p>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color w:val="auto"/>
              </w:rPr>
            </w:pPr>
            <w:r>
              <w:rPr>
                <w:color w:val="auto"/>
              </w:rPr>
              <w:t>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60" w:hRule="atLeast"/>
        </w:trPr>
        <w:tc>
          <w:tcPr>
            <w:tcW w:w="826" w:type="dxa"/>
            <w:vMerge w:val="continue"/>
            <w:vAlign w:val="center"/>
          </w:tcPr>
          <w:p>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color w:val="auto"/>
              </w:rPr>
            </w:pPr>
          </w:p>
        </w:tc>
        <w:tc>
          <w:tcPr>
            <w:tcW w:w="878" w:type="dxa"/>
            <w:vMerge w:val="continue"/>
            <w:vAlign w:val="center"/>
          </w:tcPr>
          <w:p>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color w:val="auto"/>
              </w:rPr>
            </w:pPr>
          </w:p>
        </w:tc>
        <w:tc>
          <w:tcPr>
            <w:tcW w:w="1686" w:type="dxa"/>
            <w:vAlign w:val="center"/>
          </w:tcPr>
          <w:p>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color w:val="auto"/>
              </w:rPr>
            </w:pPr>
            <w:r>
              <w:rPr>
                <w:color w:val="auto"/>
              </w:rPr>
              <w:t>2.</w:t>
            </w:r>
            <w:r>
              <w:rPr>
                <w:rFonts w:hint="eastAsia" w:cs="宋体"/>
                <w:color w:val="auto"/>
              </w:rPr>
              <w:t>没有现成信息需要另行制作</w:t>
            </w:r>
          </w:p>
        </w:tc>
        <w:tc>
          <w:tcPr>
            <w:tcW w:w="709" w:type="dxa"/>
            <w:vAlign w:val="center"/>
          </w:tcPr>
          <w:p>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color w:val="auto"/>
              </w:rPr>
            </w:pPr>
            <w:r>
              <w:rPr>
                <w:color w:val="auto"/>
              </w:rPr>
              <w:t>0</w:t>
            </w:r>
          </w:p>
        </w:tc>
        <w:tc>
          <w:tcPr>
            <w:tcW w:w="707" w:type="dxa"/>
            <w:vAlign w:val="center"/>
          </w:tcPr>
          <w:p>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color w:val="auto"/>
              </w:rPr>
            </w:pPr>
            <w:r>
              <w:rPr>
                <w:color w:val="auto"/>
              </w:rPr>
              <w:t>0</w:t>
            </w:r>
          </w:p>
        </w:tc>
        <w:tc>
          <w:tcPr>
            <w:tcW w:w="707" w:type="dxa"/>
            <w:vAlign w:val="center"/>
          </w:tcPr>
          <w:p>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color w:val="auto"/>
              </w:rPr>
            </w:pPr>
            <w:r>
              <w:rPr>
                <w:color w:val="auto"/>
              </w:rPr>
              <w:t>0</w:t>
            </w:r>
          </w:p>
        </w:tc>
        <w:tc>
          <w:tcPr>
            <w:tcW w:w="776" w:type="dxa"/>
            <w:vAlign w:val="center"/>
          </w:tcPr>
          <w:p>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color w:val="auto"/>
              </w:rPr>
            </w:pPr>
            <w:r>
              <w:rPr>
                <w:color w:val="auto"/>
              </w:rPr>
              <w:t>0</w:t>
            </w:r>
          </w:p>
        </w:tc>
        <w:tc>
          <w:tcPr>
            <w:tcW w:w="819" w:type="dxa"/>
            <w:vAlign w:val="center"/>
          </w:tcPr>
          <w:p>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color w:val="auto"/>
              </w:rPr>
            </w:pPr>
            <w:r>
              <w:rPr>
                <w:color w:val="auto"/>
              </w:rPr>
              <w:t>0</w:t>
            </w:r>
          </w:p>
        </w:tc>
        <w:tc>
          <w:tcPr>
            <w:tcW w:w="707" w:type="dxa"/>
            <w:vAlign w:val="center"/>
          </w:tcPr>
          <w:p>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color w:val="auto"/>
              </w:rPr>
            </w:pPr>
            <w:r>
              <w:rPr>
                <w:color w:val="auto"/>
              </w:rPr>
              <w:t>0</w:t>
            </w:r>
          </w:p>
        </w:tc>
        <w:tc>
          <w:tcPr>
            <w:tcW w:w="707" w:type="dxa"/>
            <w:vAlign w:val="center"/>
          </w:tcPr>
          <w:p>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color w:val="auto"/>
              </w:rPr>
            </w:pPr>
            <w:r>
              <w:rPr>
                <w:color w:val="auto"/>
              </w:rPr>
              <w:t>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60" w:hRule="atLeast"/>
        </w:trPr>
        <w:tc>
          <w:tcPr>
            <w:tcW w:w="826" w:type="dxa"/>
            <w:vMerge w:val="continue"/>
            <w:vAlign w:val="center"/>
          </w:tcPr>
          <w:p>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color w:val="auto"/>
              </w:rPr>
            </w:pPr>
          </w:p>
        </w:tc>
        <w:tc>
          <w:tcPr>
            <w:tcW w:w="878" w:type="dxa"/>
            <w:vMerge w:val="continue"/>
            <w:vAlign w:val="center"/>
          </w:tcPr>
          <w:p>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color w:val="auto"/>
              </w:rPr>
            </w:pPr>
          </w:p>
        </w:tc>
        <w:tc>
          <w:tcPr>
            <w:tcW w:w="1686" w:type="dxa"/>
            <w:vAlign w:val="center"/>
          </w:tcPr>
          <w:p>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color w:val="auto"/>
              </w:rPr>
            </w:pPr>
            <w:r>
              <w:rPr>
                <w:color w:val="auto"/>
              </w:rPr>
              <w:t>3.</w:t>
            </w:r>
            <w:r>
              <w:rPr>
                <w:rFonts w:hint="eastAsia" w:cs="宋体"/>
                <w:color w:val="auto"/>
              </w:rPr>
              <w:t>补正后申请内容仍不明确</w:t>
            </w:r>
          </w:p>
        </w:tc>
        <w:tc>
          <w:tcPr>
            <w:tcW w:w="709" w:type="dxa"/>
            <w:vAlign w:val="center"/>
          </w:tcPr>
          <w:p>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color w:val="auto"/>
              </w:rPr>
            </w:pPr>
            <w:r>
              <w:rPr>
                <w:color w:val="auto"/>
              </w:rPr>
              <w:t>0</w:t>
            </w:r>
          </w:p>
        </w:tc>
        <w:tc>
          <w:tcPr>
            <w:tcW w:w="707" w:type="dxa"/>
            <w:vAlign w:val="center"/>
          </w:tcPr>
          <w:p>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color w:val="auto"/>
              </w:rPr>
            </w:pPr>
            <w:r>
              <w:rPr>
                <w:color w:val="auto"/>
              </w:rPr>
              <w:t>0</w:t>
            </w:r>
          </w:p>
        </w:tc>
        <w:tc>
          <w:tcPr>
            <w:tcW w:w="707" w:type="dxa"/>
            <w:vAlign w:val="center"/>
          </w:tcPr>
          <w:p>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color w:val="auto"/>
              </w:rPr>
            </w:pPr>
            <w:r>
              <w:rPr>
                <w:color w:val="auto"/>
              </w:rPr>
              <w:t>0</w:t>
            </w:r>
          </w:p>
        </w:tc>
        <w:tc>
          <w:tcPr>
            <w:tcW w:w="776" w:type="dxa"/>
            <w:vAlign w:val="center"/>
          </w:tcPr>
          <w:p>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color w:val="auto"/>
              </w:rPr>
            </w:pPr>
            <w:r>
              <w:rPr>
                <w:color w:val="auto"/>
              </w:rPr>
              <w:t>0</w:t>
            </w:r>
          </w:p>
        </w:tc>
        <w:tc>
          <w:tcPr>
            <w:tcW w:w="819" w:type="dxa"/>
            <w:vAlign w:val="center"/>
          </w:tcPr>
          <w:p>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color w:val="auto"/>
              </w:rPr>
            </w:pPr>
            <w:r>
              <w:rPr>
                <w:color w:val="auto"/>
              </w:rPr>
              <w:t>0</w:t>
            </w:r>
          </w:p>
        </w:tc>
        <w:tc>
          <w:tcPr>
            <w:tcW w:w="707" w:type="dxa"/>
            <w:vAlign w:val="center"/>
          </w:tcPr>
          <w:p>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color w:val="auto"/>
              </w:rPr>
            </w:pPr>
            <w:r>
              <w:rPr>
                <w:color w:val="auto"/>
              </w:rPr>
              <w:t>0</w:t>
            </w:r>
          </w:p>
        </w:tc>
        <w:tc>
          <w:tcPr>
            <w:tcW w:w="707" w:type="dxa"/>
            <w:vAlign w:val="center"/>
          </w:tcPr>
          <w:p>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color w:val="auto"/>
              </w:rPr>
            </w:pPr>
            <w:r>
              <w:rPr>
                <w:color w:val="auto"/>
              </w:rPr>
              <w:t>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60" w:hRule="atLeast"/>
        </w:trPr>
        <w:tc>
          <w:tcPr>
            <w:tcW w:w="826" w:type="dxa"/>
            <w:vMerge w:val="continue"/>
            <w:vAlign w:val="center"/>
          </w:tcPr>
          <w:p>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color w:val="auto"/>
              </w:rPr>
            </w:pPr>
          </w:p>
        </w:tc>
        <w:tc>
          <w:tcPr>
            <w:tcW w:w="878" w:type="dxa"/>
            <w:vMerge w:val="restart"/>
            <w:vAlign w:val="center"/>
          </w:tcPr>
          <w:p>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color w:val="auto"/>
              </w:rPr>
            </w:pPr>
            <w:r>
              <w:rPr>
                <w:rFonts w:hint="eastAsia" w:cs="宋体"/>
                <w:color w:val="auto"/>
              </w:rPr>
              <w:t>（五）不予处理</w:t>
            </w:r>
          </w:p>
        </w:tc>
        <w:tc>
          <w:tcPr>
            <w:tcW w:w="1686" w:type="dxa"/>
            <w:vAlign w:val="center"/>
          </w:tcPr>
          <w:p>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color w:val="auto"/>
              </w:rPr>
            </w:pPr>
            <w:r>
              <w:rPr>
                <w:color w:val="auto"/>
              </w:rPr>
              <w:t>1.</w:t>
            </w:r>
            <w:r>
              <w:rPr>
                <w:rFonts w:hint="eastAsia" w:cs="宋体"/>
                <w:color w:val="auto"/>
              </w:rPr>
              <w:t>信访举报投诉类申请</w:t>
            </w:r>
          </w:p>
        </w:tc>
        <w:tc>
          <w:tcPr>
            <w:tcW w:w="709" w:type="dxa"/>
            <w:vAlign w:val="center"/>
          </w:tcPr>
          <w:p>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color w:val="auto"/>
              </w:rPr>
            </w:pPr>
            <w:r>
              <w:rPr>
                <w:color w:val="auto"/>
              </w:rPr>
              <w:t>0</w:t>
            </w:r>
          </w:p>
        </w:tc>
        <w:tc>
          <w:tcPr>
            <w:tcW w:w="707" w:type="dxa"/>
            <w:vAlign w:val="center"/>
          </w:tcPr>
          <w:p>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color w:val="auto"/>
              </w:rPr>
            </w:pPr>
            <w:r>
              <w:rPr>
                <w:color w:val="auto"/>
              </w:rPr>
              <w:t>0</w:t>
            </w:r>
          </w:p>
        </w:tc>
        <w:tc>
          <w:tcPr>
            <w:tcW w:w="707" w:type="dxa"/>
            <w:vAlign w:val="center"/>
          </w:tcPr>
          <w:p>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color w:val="auto"/>
              </w:rPr>
            </w:pPr>
            <w:r>
              <w:rPr>
                <w:color w:val="auto"/>
              </w:rPr>
              <w:t>0</w:t>
            </w:r>
          </w:p>
        </w:tc>
        <w:tc>
          <w:tcPr>
            <w:tcW w:w="776" w:type="dxa"/>
            <w:vAlign w:val="center"/>
          </w:tcPr>
          <w:p>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color w:val="auto"/>
              </w:rPr>
            </w:pPr>
            <w:r>
              <w:rPr>
                <w:color w:val="auto"/>
              </w:rPr>
              <w:t>0</w:t>
            </w:r>
          </w:p>
        </w:tc>
        <w:tc>
          <w:tcPr>
            <w:tcW w:w="819" w:type="dxa"/>
            <w:vAlign w:val="center"/>
          </w:tcPr>
          <w:p>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color w:val="auto"/>
              </w:rPr>
            </w:pPr>
            <w:r>
              <w:rPr>
                <w:color w:val="auto"/>
              </w:rPr>
              <w:t>0</w:t>
            </w:r>
          </w:p>
        </w:tc>
        <w:tc>
          <w:tcPr>
            <w:tcW w:w="707" w:type="dxa"/>
            <w:vAlign w:val="center"/>
          </w:tcPr>
          <w:p>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color w:val="auto"/>
              </w:rPr>
            </w:pPr>
            <w:r>
              <w:rPr>
                <w:color w:val="auto"/>
              </w:rPr>
              <w:t>0</w:t>
            </w:r>
          </w:p>
        </w:tc>
        <w:tc>
          <w:tcPr>
            <w:tcW w:w="707" w:type="dxa"/>
            <w:vAlign w:val="center"/>
          </w:tcPr>
          <w:p>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color w:val="auto"/>
              </w:rPr>
            </w:pPr>
            <w:r>
              <w:rPr>
                <w:color w:val="auto"/>
              </w:rPr>
              <w:t>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60" w:hRule="atLeast"/>
        </w:trPr>
        <w:tc>
          <w:tcPr>
            <w:tcW w:w="826" w:type="dxa"/>
            <w:vMerge w:val="continue"/>
            <w:vAlign w:val="center"/>
          </w:tcPr>
          <w:p>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color w:val="auto"/>
              </w:rPr>
            </w:pPr>
          </w:p>
        </w:tc>
        <w:tc>
          <w:tcPr>
            <w:tcW w:w="878" w:type="dxa"/>
            <w:vMerge w:val="continue"/>
            <w:vAlign w:val="center"/>
          </w:tcPr>
          <w:p>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color w:val="auto"/>
              </w:rPr>
            </w:pPr>
          </w:p>
        </w:tc>
        <w:tc>
          <w:tcPr>
            <w:tcW w:w="1686" w:type="dxa"/>
            <w:vAlign w:val="center"/>
          </w:tcPr>
          <w:p>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color w:val="auto"/>
              </w:rPr>
            </w:pPr>
            <w:r>
              <w:rPr>
                <w:color w:val="auto"/>
              </w:rPr>
              <w:t>2.</w:t>
            </w:r>
            <w:r>
              <w:rPr>
                <w:rFonts w:hint="eastAsia" w:cs="宋体"/>
                <w:color w:val="auto"/>
              </w:rPr>
              <w:t>重复申请</w:t>
            </w:r>
          </w:p>
        </w:tc>
        <w:tc>
          <w:tcPr>
            <w:tcW w:w="709" w:type="dxa"/>
            <w:vAlign w:val="center"/>
          </w:tcPr>
          <w:p>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color w:val="auto"/>
              </w:rPr>
            </w:pPr>
            <w:r>
              <w:rPr>
                <w:color w:val="auto"/>
              </w:rPr>
              <w:t>0</w:t>
            </w:r>
          </w:p>
        </w:tc>
        <w:tc>
          <w:tcPr>
            <w:tcW w:w="707" w:type="dxa"/>
            <w:vAlign w:val="center"/>
          </w:tcPr>
          <w:p>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color w:val="auto"/>
              </w:rPr>
            </w:pPr>
            <w:r>
              <w:rPr>
                <w:color w:val="auto"/>
              </w:rPr>
              <w:t>0</w:t>
            </w:r>
          </w:p>
        </w:tc>
        <w:tc>
          <w:tcPr>
            <w:tcW w:w="707" w:type="dxa"/>
            <w:vAlign w:val="center"/>
          </w:tcPr>
          <w:p>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color w:val="auto"/>
              </w:rPr>
            </w:pPr>
            <w:r>
              <w:rPr>
                <w:color w:val="auto"/>
              </w:rPr>
              <w:t>0</w:t>
            </w:r>
          </w:p>
        </w:tc>
        <w:tc>
          <w:tcPr>
            <w:tcW w:w="776" w:type="dxa"/>
            <w:vAlign w:val="center"/>
          </w:tcPr>
          <w:p>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color w:val="auto"/>
              </w:rPr>
            </w:pPr>
            <w:r>
              <w:rPr>
                <w:color w:val="auto"/>
              </w:rPr>
              <w:t>0</w:t>
            </w:r>
          </w:p>
        </w:tc>
        <w:tc>
          <w:tcPr>
            <w:tcW w:w="819" w:type="dxa"/>
            <w:vAlign w:val="center"/>
          </w:tcPr>
          <w:p>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color w:val="auto"/>
              </w:rPr>
            </w:pPr>
            <w:r>
              <w:rPr>
                <w:color w:val="auto"/>
              </w:rPr>
              <w:t>0</w:t>
            </w:r>
          </w:p>
        </w:tc>
        <w:tc>
          <w:tcPr>
            <w:tcW w:w="707" w:type="dxa"/>
            <w:vAlign w:val="center"/>
          </w:tcPr>
          <w:p>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color w:val="auto"/>
              </w:rPr>
            </w:pPr>
            <w:r>
              <w:rPr>
                <w:color w:val="auto"/>
              </w:rPr>
              <w:t>0</w:t>
            </w:r>
          </w:p>
        </w:tc>
        <w:tc>
          <w:tcPr>
            <w:tcW w:w="707" w:type="dxa"/>
            <w:vAlign w:val="center"/>
          </w:tcPr>
          <w:p>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color w:val="auto"/>
              </w:rPr>
            </w:pPr>
            <w:r>
              <w:rPr>
                <w:color w:val="auto"/>
              </w:rPr>
              <w:t>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60" w:hRule="atLeast"/>
        </w:trPr>
        <w:tc>
          <w:tcPr>
            <w:tcW w:w="826" w:type="dxa"/>
            <w:vMerge w:val="continue"/>
            <w:vAlign w:val="center"/>
          </w:tcPr>
          <w:p>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color w:val="auto"/>
              </w:rPr>
            </w:pPr>
          </w:p>
        </w:tc>
        <w:tc>
          <w:tcPr>
            <w:tcW w:w="878" w:type="dxa"/>
            <w:vMerge w:val="continue"/>
            <w:vAlign w:val="center"/>
          </w:tcPr>
          <w:p>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color w:val="auto"/>
              </w:rPr>
            </w:pPr>
          </w:p>
        </w:tc>
        <w:tc>
          <w:tcPr>
            <w:tcW w:w="1686" w:type="dxa"/>
            <w:vAlign w:val="center"/>
          </w:tcPr>
          <w:p>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color w:val="auto"/>
              </w:rPr>
            </w:pPr>
            <w:r>
              <w:rPr>
                <w:color w:val="auto"/>
              </w:rPr>
              <w:t>3.</w:t>
            </w:r>
            <w:r>
              <w:rPr>
                <w:rFonts w:hint="eastAsia" w:cs="宋体"/>
                <w:color w:val="auto"/>
              </w:rPr>
              <w:t>要求提供公开出版物</w:t>
            </w:r>
          </w:p>
        </w:tc>
        <w:tc>
          <w:tcPr>
            <w:tcW w:w="709" w:type="dxa"/>
            <w:vAlign w:val="center"/>
          </w:tcPr>
          <w:p>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color w:val="auto"/>
              </w:rPr>
            </w:pPr>
            <w:r>
              <w:rPr>
                <w:color w:val="auto"/>
              </w:rPr>
              <w:t>0</w:t>
            </w:r>
          </w:p>
        </w:tc>
        <w:tc>
          <w:tcPr>
            <w:tcW w:w="707" w:type="dxa"/>
            <w:vAlign w:val="center"/>
          </w:tcPr>
          <w:p>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color w:val="auto"/>
              </w:rPr>
            </w:pPr>
            <w:r>
              <w:rPr>
                <w:color w:val="auto"/>
              </w:rPr>
              <w:t>0</w:t>
            </w:r>
          </w:p>
        </w:tc>
        <w:tc>
          <w:tcPr>
            <w:tcW w:w="707" w:type="dxa"/>
            <w:vAlign w:val="center"/>
          </w:tcPr>
          <w:p>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color w:val="auto"/>
              </w:rPr>
            </w:pPr>
            <w:r>
              <w:rPr>
                <w:color w:val="auto"/>
              </w:rPr>
              <w:t>0</w:t>
            </w:r>
          </w:p>
        </w:tc>
        <w:tc>
          <w:tcPr>
            <w:tcW w:w="776" w:type="dxa"/>
            <w:vAlign w:val="center"/>
          </w:tcPr>
          <w:p>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color w:val="auto"/>
              </w:rPr>
            </w:pPr>
            <w:r>
              <w:rPr>
                <w:color w:val="auto"/>
              </w:rPr>
              <w:t>0</w:t>
            </w:r>
          </w:p>
        </w:tc>
        <w:tc>
          <w:tcPr>
            <w:tcW w:w="819" w:type="dxa"/>
            <w:vAlign w:val="center"/>
          </w:tcPr>
          <w:p>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color w:val="auto"/>
              </w:rPr>
            </w:pPr>
            <w:r>
              <w:rPr>
                <w:color w:val="auto"/>
              </w:rPr>
              <w:t>0</w:t>
            </w:r>
          </w:p>
        </w:tc>
        <w:tc>
          <w:tcPr>
            <w:tcW w:w="707" w:type="dxa"/>
            <w:vAlign w:val="center"/>
          </w:tcPr>
          <w:p>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color w:val="auto"/>
              </w:rPr>
            </w:pPr>
            <w:r>
              <w:rPr>
                <w:color w:val="auto"/>
              </w:rPr>
              <w:t>0</w:t>
            </w:r>
          </w:p>
        </w:tc>
        <w:tc>
          <w:tcPr>
            <w:tcW w:w="707" w:type="dxa"/>
            <w:vAlign w:val="center"/>
          </w:tcPr>
          <w:p>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color w:val="auto"/>
              </w:rPr>
            </w:pPr>
            <w:r>
              <w:rPr>
                <w:color w:val="auto"/>
              </w:rPr>
              <w:t>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60" w:hRule="atLeast"/>
        </w:trPr>
        <w:tc>
          <w:tcPr>
            <w:tcW w:w="826" w:type="dxa"/>
            <w:vMerge w:val="continue"/>
            <w:vAlign w:val="center"/>
          </w:tcPr>
          <w:p>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color w:val="auto"/>
              </w:rPr>
            </w:pPr>
          </w:p>
        </w:tc>
        <w:tc>
          <w:tcPr>
            <w:tcW w:w="878" w:type="dxa"/>
            <w:vMerge w:val="continue"/>
            <w:vAlign w:val="center"/>
          </w:tcPr>
          <w:p>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color w:val="auto"/>
              </w:rPr>
            </w:pPr>
          </w:p>
        </w:tc>
        <w:tc>
          <w:tcPr>
            <w:tcW w:w="1686" w:type="dxa"/>
            <w:vAlign w:val="center"/>
          </w:tcPr>
          <w:p>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color w:val="auto"/>
              </w:rPr>
            </w:pPr>
            <w:r>
              <w:rPr>
                <w:color w:val="auto"/>
              </w:rPr>
              <w:t>4.</w:t>
            </w:r>
            <w:r>
              <w:rPr>
                <w:rFonts w:hint="eastAsia" w:cs="宋体"/>
                <w:color w:val="auto"/>
              </w:rPr>
              <w:t>无正当理由大量反复申请</w:t>
            </w:r>
          </w:p>
        </w:tc>
        <w:tc>
          <w:tcPr>
            <w:tcW w:w="709" w:type="dxa"/>
            <w:vAlign w:val="center"/>
          </w:tcPr>
          <w:p>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color w:val="auto"/>
              </w:rPr>
            </w:pPr>
            <w:r>
              <w:rPr>
                <w:color w:val="auto"/>
              </w:rPr>
              <w:t>1</w:t>
            </w:r>
          </w:p>
        </w:tc>
        <w:tc>
          <w:tcPr>
            <w:tcW w:w="707" w:type="dxa"/>
            <w:vAlign w:val="center"/>
          </w:tcPr>
          <w:p>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color w:val="auto"/>
              </w:rPr>
            </w:pPr>
            <w:r>
              <w:rPr>
                <w:color w:val="auto"/>
              </w:rPr>
              <w:t>0</w:t>
            </w:r>
          </w:p>
        </w:tc>
        <w:tc>
          <w:tcPr>
            <w:tcW w:w="707" w:type="dxa"/>
            <w:vAlign w:val="center"/>
          </w:tcPr>
          <w:p>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color w:val="auto"/>
              </w:rPr>
            </w:pPr>
            <w:r>
              <w:rPr>
                <w:color w:val="auto"/>
              </w:rPr>
              <w:t>0</w:t>
            </w:r>
          </w:p>
        </w:tc>
        <w:tc>
          <w:tcPr>
            <w:tcW w:w="776" w:type="dxa"/>
            <w:vAlign w:val="center"/>
          </w:tcPr>
          <w:p>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color w:val="auto"/>
              </w:rPr>
            </w:pPr>
            <w:r>
              <w:rPr>
                <w:color w:val="auto"/>
              </w:rPr>
              <w:t>0</w:t>
            </w:r>
          </w:p>
        </w:tc>
        <w:tc>
          <w:tcPr>
            <w:tcW w:w="819" w:type="dxa"/>
            <w:vAlign w:val="center"/>
          </w:tcPr>
          <w:p>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color w:val="auto"/>
              </w:rPr>
            </w:pPr>
            <w:r>
              <w:rPr>
                <w:color w:val="auto"/>
              </w:rPr>
              <w:t>0</w:t>
            </w:r>
          </w:p>
        </w:tc>
        <w:tc>
          <w:tcPr>
            <w:tcW w:w="707" w:type="dxa"/>
            <w:vAlign w:val="center"/>
          </w:tcPr>
          <w:p>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color w:val="auto"/>
              </w:rPr>
            </w:pPr>
            <w:r>
              <w:rPr>
                <w:color w:val="auto"/>
              </w:rPr>
              <w:t>0</w:t>
            </w:r>
          </w:p>
        </w:tc>
        <w:tc>
          <w:tcPr>
            <w:tcW w:w="707" w:type="dxa"/>
            <w:vAlign w:val="center"/>
          </w:tcPr>
          <w:p>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color w:val="auto"/>
              </w:rPr>
            </w:pPr>
            <w:r>
              <w:rPr>
                <w:color w:val="auto"/>
              </w:rPr>
              <w:t>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570" w:hRule="atLeast"/>
        </w:trPr>
        <w:tc>
          <w:tcPr>
            <w:tcW w:w="826" w:type="dxa"/>
            <w:vMerge w:val="continue"/>
            <w:vAlign w:val="center"/>
          </w:tcPr>
          <w:p>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color w:val="auto"/>
              </w:rPr>
            </w:pPr>
          </w:p>
        </w:tc>
        <w:tc>
          <w:tcPr>
            <w:tcW w:w="878" w:type="dxa"/>
            <w:vMerge w:val="continue"/>
            <w:vAlign w:val="center"/>
          </w:tcPr>
          <w:p>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color w:val="auto"/>
              </w:rPr>
            </w:pPr>
          </w:p>
        </w:tc>
        <w:tc>
          <w:tcPr>
            <w:tcW w:w="1686" w:type="dxa"/>
            <w:vAlign w:val="center"/>
          </w:tcPr>
          <w:p>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color w:val="auto"/>
              </w:rPr>
            </w:pPr>
            <w:r>
              <w:rPr>
                <w:color w:val="auto"/>
              </w:rPr>
              <w:t>5.</w:t>
            </w:r>
            <w:r>
              <w:rPr>
                <w:rFonts w:hint="eastAsia" w:cs="宋体"/>
                <w:color w:val="auto"/>
              </w:rPr>
              <w:t>要求行政机关确认或重新出具已获取信息</w:t>
            </w:r>
          </w:p>
        </w:tc>
        <w:tc>
          <w:tcPr>
            <w:tcW w:w="709" w:type="dxa"/>
            <w:vAlign w:val="center"/>
          </w:tcPr>
          <w:p>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color w:val="auto"/>
              </w:rPr>
            </w:pPr>
            <w:r>
              <w:rPr>
                <w:color w:val="auto"/>
              </w:rPr>
              <w:t>0</w:t>
            </w:r>
          </w:p>
        </w:tc>
        <w:tc>
          <w:tcPr>
            <w:tcW w:w="707" w:type="dxa"/>
            <w:vAlign w:val="center"/>
          </w:tcPr>
          <w:p>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color w:val="auto"/>
              </w:rPr>
            </w:pPr>
            <w:r>
              <w:rPr>
                <w:color w:val="auto"/>
              </w:rPr>
              <w:t>0</w:t>
            </w:r>
          </w:p>
        </w:tc>
        <w:tc>
          <w:tcPr>
            <w:tcW w:w="707" w:type="dxa"/>
            <w:vAlign w:val="center"/>
          </w:tcPr>
          <w:p>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color w:val="auto"/>
              </w:rPr>
            </w:pPr>
            <w:r>
              <w:rPr>
                <w:color w:val="auto"/>
              </w:rPr>
              <w:t>0</w:t>
            </w:r>
          </w:p>
        </w:tc>
        <w:tc>
          <w:tcPr>
            <w:tcW w:w="776" w:type="dxa"/>
            <w:vAlign w:val="center"/>
          </w:tcPr>
          <w:p>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color w:val="auto"/>
              </w:rPr>
            </w:pPr>
            <w:r>
              <w:rPr>
                <w:color w:val="auto"/>
              </w:rPr>
              <w:t>0</w:t>
            </w:r>
          </w:p>
        </w:tc>
        <w:tc>
          <w:tcPr>
            <w:tcW w:w="819" w:type="dxa"/>
            <w:vAlign w:val="center"/>
          </w:tcPr>
          <w:p>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color w:val="auto"/>
              </w:rPr>
            </w:pPr>
            <w:r>
              <w:rPr>
                <w:color w:val="auto"/>
              </w:rPr>
              <w:t>0</w:t>
            </w:r>
          </w:p>
        </w:tc>
        <w:tc>
          <w:tcPr>
            <w:tcW w:w="707" w:type="dxa"/>
            <w:vAlign w:val="center"/>
          </w:tcPr>
          <w:p>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color w:val="auto"/>
              </w:rPr>
            </w:pPr>
            <w:r>
              <w:rPr>
                <w:color w:val="auto"/>
              </w:rPr>
              <w:t>0</w:t>
            </w:r>
          </w:p>
        </w:tc>
        <w:tc>
          <w:tcPr>
            <w:tcW w:w="707" w:type="dxa"/>
            <w:vAlign w:val="center"/>
          </w:tcPr>
          <w:p>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color w:val="auto"/>
              </w:rPr>
            </w:pPr>
            <w:r>
              <w:rPr>
                <w:color w:val="auto"/>
              </w:rPr>
              <w:t>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60" w:hRule="atLeast"/>
        </w:trPr>
        <w:tc>
          <w:tcPr>
            <w:tcW w:w="826" w:type="dxa"/>
            <w:vMerge w:val="continue"/>
            <w:vAlign w:val="center"/>
          </w:tcPr>
          <w:p>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color w:val="auto"/>
              </w:rPr>
            </w:pPr>
          </w:p>
        </w:tc>
        <w:tc>
          <w:tcPr>
            <w:tcW w:w="2564" w:type="dxa"/>
            <w:gridSpan w:val="2"/>
            <w:vAlign w:val="center"/>
          </w:tcPr>
          <w:p>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color w:val="auto"/>
              </w:rPr>
            </w:pPr>
            <w:r>
              <w:rPr>
                <w:rFonts w:hint="eastAsia" w:cs="宋体"/>
                <w:color w:val="auto"/>
              </w:rPr>
              <w:t>（六）其他处理</w:t>
            </w:r>
          </w:p>
        </w:tc>
        <w:tc>
          <w:tcPr>
            <w:tcW w:w="709" w:type="dxa"/>
            <w:vAlign w:val="center"/>
          </w:tcPr>
          <w:p>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color w:val="auto"/>
              </w:rPr>
            </w:pPr>
            <w:r>
              <w:rPr>
                <w:color w:val="auto"/>
              </w:rPr>
              <w:t>0</w:t>
            </w:r>
          </w:p>
        </w:tc>
        <w:tc>
          <w:tcPr>
            <w:tcW w:w="707" w:type="dxa"/>
            <w:vAlign w:val="center"/>
          </w:tcPr>
          <w:p>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color w:val="auto"/>
              </w:rPr>
            </w:pPr>
            <w:r>
              <w:rPr>
                <w:color w:val="auto"/>
              </w:rPr>
              <w:t>0</w:t>
            </w:r>
          </w:p>
        </w:tc>
        <w:tc>
          <w:tcPr>
            <w:tcW w:w="707" w:type="dxa"/>
            <w:vAlign w:val="center"/>
          </w:tcPr>
          <w:p>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color w:val="auto"/>
              </w:rPr>
            </w:pPr>
            <w:r>
              <w:rPr>
                <w:color w:val="auto"/>
              </w:rPr>
              <w:t>0</w:t>
            </w:r>
          </w:p>
        </w:tc>
        <w:tc>
          <w:tcPr>
            <w:tcW w:w="776" w:type="dxa"/>
            <w:vAlign w:val="center"/>
          </w:tcPr>
          <w:p>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color w:val="auto"/>
              </w:rPr>
            </w:pPr>
            <w:r>
              <w:rPr>
                <w:color w:val="auto"/>
              </w:rPr>
              <w:t>0</w:t>
            </w:r>
          </w:p>
        </w:tc>
        <w:tc>
          <w:tcPr>
            <w:tcW w:w="819" w:type="dxa"/>
            <w:vAlign w:val="center"/>
          </w:tcPr>
          <w:p>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color w:val="auto"/>
              </w:rPr>
            </w:pPr>
            <w:r>
              <w:rPr>
                <w:color w:val="auto"/>
              </w:rPr>
              <w:t>0</w:t>
            </w:r>
          </w:p>
        </w:tc>
        <w:tc>
          <w:tcPr>
            <w:tcW w:w="707" w:type="dxa"/>
            <w:vAlign w:val="center"/>
          </w:tcPr>
          <w:p>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color w:val="auto"/>
              </w:rPr>
            </w:pPr>
            <w:r>
              <w:rPr>
                <w:color w:val="auto"/>
              </w:rPr>
              <w:t>0</w:t>
            </w:r>
          </w:p>
        </w:tc>
        <w:tc>
          <w:tcPr>
            <w:tcW w:w="707" w:type="dxa"/>
            <w:vAlign w:val="center"/>
          </w:tcPr>
          <w:p>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color w:val="auto"/>
              </w:rPr>
            </w:pPr>
            <w:r>
              <w:rPr>
                <w:color w:val="auto"/>
              </w:rPr>
              <w:t>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60" w:hRule="atLeast"/>
        </w:trPr>
        <w:tc>
          <w:tcPr>
            <w:tcW w:w="826" w:type="dxa"/>
            <w:vMerge w:val="continue"/>
            <w:vAlign w:val="center"/>
          </w:tcPr>
          <w:p>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color w:val="auto"/>
              </w:rPr>
            </w:pPr>
          </w:p>
        </w:tc>
        <w:tc>
          <w:tcPr>
            <w:tcW w:w="2564" w:type="dxa"/>
            <w:gridSpan w:val="2"/>
            <w:vAlign w:val="center"/>
          </w:tcPr>
          <w:p>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color w:val="auto"/>
              </w:rPr>
            </w:pPr>
            <w:r>
              <w:rPr>
                <w:rFonts w:hint="eastAsia" w:cs="宋体"/>
                <w:color w:val="auto"/>
              </w:rPr>
              <w:t>（七）总计</w:t>
            </w:r>
            <w:bookmarkStart w:id="0" w:name="_GoBack"/>
            <w:bookmarkEnd w:id="0"/>
          </w:p>
        </w:tc>
        <w:tc>
          <w:tcPr>
            <w:tcW w:w="709" w:type="dxa"/>
            <w:vAlign w:val="center"/>
          </w:tcPr>
          <w:p>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rFonts w:hint="eastAsia" w:eastAsia="宋体"/>
                <w:color w:val="auto"/>
                <w:lang w:eastAsia="zh-CN"/>
              </w:rPr>
            </w:pPr>
            <w:r>
              <w:rPr>
                <w:rFonts w:hint="eastAsia"/>
                <w:color w:val="auto"/>
                <w:lang w:val="en-US" w:eastAsia="zh-CN"/>
              </w:rPr>
              <w:t>7</w:t>
            </w:r>
          </w:p>
        </w:tc>
        <w:tc>
          <w:tcPr>
            <w:tcW w:w="707" w:type="dxa"/>
            <w:vAlign w:val="center"/>
          </w:tcPr>
          <w:p>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color w:val="auto"/>
              </w:rPr>
            </w:pPr>
            <w:r>
              <w:rPr>
                <w:color w:val="auto"/>
              </w:rPr>
              <w:t>0</w:t>
            </w:r>
          </w:p>
        </w:tc>
        <w:tc>
          <w:tcPr>
            <w:tcW w:w="707" w:type="dxa"/>
            <w:vAlign w:val="center"/>
          </w:tcPr>
          <w:p>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color w:val="auto"/>
              </w:rPr>
            </w:pPr>
            <w:r>
              <w:rPr>
                <w:color w:val="auto"/>
              </w:rPr>
              <w:t>0</w:t>
            </w:r>
          </w:p>
        </w:tc>
        <w:tc>
          <w:tcPr>
            <w:tcW w:w="776" w:type="dxa"/>
            <w:vAlign w:val="center"/>
          </w:tcPr>
          <w:p>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color w:val="auto"/>
              </w:rPr>
            </w:pPr>
            <w:r>
              <w:rPr>
                <w:color w:val="auto"/>
              </w:rPr>
              <w:t>0</w:t>
            </w:r>
          </w:p>
        </w:tc>
        <w:tc>
          <w:tcPr>
            <w:tcW w:w="819" w:type="dxa"/>
            <w:vAlign w:val="center"/>
          </w:tcPr>
          <w:p>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color w:val="auto"/>
              </w:rPr>
            </w:pPr>
            <w:r>
              <w:rPr>
                <w:color w:val="auto"/>
              </w:rPr>
              <w:t>0</w:t>
            </w:r>
          </w:p>
        </w:tc>
        <w:tc>
          <w:tcPr>
            <w:tcW w:w="707" w:type="dxa"/>
            <w:vAlign w:val="center"/>
          </w:tcPr>
          <w:p>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color w:val="auto"/>
              </w:rPr>
            </w:pPr>
            <w:r>
              <w:rPr>
                <w:color w:val="auto"/>
              </w:rPr>
              <w:t>0</w:t>
            </w:r>
          </w:p>
        </w:tc>
        <w:tc>
          <w:tcPr>
            <w:tcW w:w="707" w:type="dxa"/>
            <w:vAlign w:val="center"/>
          </w:tcPr>
          <w:p>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rFonts w:hint="eastAsia" w:eastAsia="宋体"/>
                <w:color w:val="auto"/>
                <w:lang w:eastAsia="zh-CN"/>
              </w:rPr>
            </w:pPr>
            <w:r>
              <w:rPr>
                <w:rFonts w:hint="eastAsia"/>
                <w:color w:val="auto"/>
                <w:lang w:val="en-US" w:eastAsia="zh-CN"/>
              </w:rPr>
              <w:t>7</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500" w:hRule="atLeast"/>
        </w:trPr>
        <w:tc>
          <w:tcPr>
            <w:tcW w:w="3390" w:type="dxa"/>
            <w:gridSpan w:val="3"/>
            <w:vAlign w:val="center"/>
          </w:tcPr>
          <w:p>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color w:val="auto"/>
              </w:rPr>
            </w:pPr>
            <w:r>
              <w:rPr>
                <w:rFonts w:hint="eastAsia" w:cs="宋体"/>
                <w:color w:val="auto"/>
              </w:rPr>
              <w:t>四、结转下年度继续办理</w:t>
            </w:r>
          </w:p>
        </w:tc>
        <w:tc>
          <w:tcPr>
            <w:tcW w:w="709" w:type="dxa"/>
            <w:vAlign w:val="center"/>
          </w:tcPr>
          <w:p>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color w:val="auto"/>
              </w:rPr>
            </w:pPr>
            <w:r>
              <w:rPr>
                <w:color w:val="auto"/>
              </w:rPr>
              <w:t>5</w:t>
            </w:r>
          </w:p>
        </w:tc>
        <w:tc>
          <w:tcPr>
            <w:tcW w:w="707" w:type="dxa"/>
            <w:vAlign w:val="center"/>
          </w:tcPr>
          <w:p>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color w:val="auto"/>
              </w:rPr>
            </w:pPr>
            <w:r>
              <w:rPr>
                <w:color w:val="auto"/>
              </w:rPr>
              <w:t>0</w:t>
            </w:r>
          </w:p>
        </w:tc>
        <w:tc>
          <w:tcPr>
            <w:tcW w:w="707" w:type="dxa"/>
            <w:vAlign w:val="center"/>
          </w:tcPr>
          <w:p>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color w:val="auto"/>
              </w:rPr>
            </w:pPr>
            <w:r>
              <w:rPr>
                <w:color w:val="auto"/>
              </w:rPr>
              <w:t>0</w:t>
            </w:r>
          </w:p>
        </w:tc>
        <w:tc>
          <w:tcPr>
            <w:tcW w:w="776" w:type="dxa"/>
            <w:vAlign w:val="center"/>
          </w:tcPr>
          <w:p>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color w:val="auto"/>
              </w:rPr>
            </w:pPr>
            <w:r>
              <w:rPr>
                <w:color w:val="auto"/>
              </w:rPr>
              <w:t>0</w:t>
            </w:r>
          </w:p>
        </w:tc>
        <w:tc>
          <w:tcPr>
            <w:tcW w:w="819" w:type="dxa"/>
            <w:vAlign w:val="center"/>
          </w:tcPr>
          <w:p>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color w:val="auto"/>
              </w:rPr>
            </w:pPr>
            <w:r>
              <w:rPr>
                <w:color w:val="auto"/>
              </w:rPr>
              <w:t>0</w:t>
            </w:r>
          </w:p>
        </w:tc>
        <w:tc>
          <w:tcPr>
            <w:tcW w:w="707" w:type="dxa"/>
            <w:vAlign w:val="center"/>
          </w:tcPr>
          <w:p>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color w:val="auto"/>
              </w:rPr>
            </w:pPr>
            <w:r>
              <w:rPr>
                <w:color w:val="auto"/>
              </w:rPr>
              <w:t>0</w:t>
            </w:r>
          </w:p>
        </w:tc>
        <w:tc>
          <w:tcPr>
            <w:tcW w:w="707" w:type="dxa"/>
            <w:vAlign w:val="center"/>
          </w:tcPr>
          <w:p>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color w:val="auto"/>
              </w:rPr>
            </w:pPr>
            <w:r>
              <w:rPr>
                <w:color w:val="auto"/>
              </w:rPr>
              <w:t>5</w:t>
            </w:r>
          </w:p>
        </w:tc>
      </w:tr>
    </w:tbl>
    <w:p>
      <w:pPr>
        <w:keepNext w:val="0"/>
        <w:keepLines w:val="0"/>
        <w:pageBreakBefore w:val="0"/>
        <w:widowControl w:val="0"/>
        <w:kinsoku/>
        <w:wordWrap/>
        <w:overflowPunct/>
        <w:topLinePunct w:val="0"/>
        <w:autoSpaceDE/>
        <w:autoSpaceDN/>
        <w:bidi w:val="0"/>
        <w:adjustRightInd/>
        <w:snapToGrid/>
        <w:spacing w:line="560" w:lineRule="exact"/>
        <w:ind w:right="0" w:rightChars="0" w:firstLine="640" w:firstLineChars="200"/>
        <w:textAlignment w:val="auto"/>
        <w:outlineLvl w:val="9"/>
      </w:pPr>
      <w:r>
        <w:rPr>
          <w:rFonts w:hint="eastAsia" w:ascii="黑体" w:hAnsi="黑体" w:eastAsia="黑体"/>
          <w:b w:val="0"/>
          <w:bCs/>
          <w:sz w:val="32"/>
          <w:szCs w:val="32"/>
        </w:rPr>
        <w:t>四、政府信息公开行政复议、行政诉讼情况</w:t>
      </w:r>
    </w:p>
    <w:tbl>
      <w:tblPr>
        <w:tblStyle w:val="5"/>
        <w:tblW w:w="8522"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566"/>
        <w:gridCol w:w="567"/>
        <w:gridCol w:w="567"/>
        <w:gridCol w:w="567"/>
        <w:gridCol w:w="589"/>
        <w:gridCol w:w="561"/>
        <w:gridCol w:w="561"/>
        <w:gridCol w:w="561"/>
        <w:gridCol w:w="561"/>
        <w:gridCol w:w="589"/>
        <w:gridCol w:w="561"/>
        <w:gridCol w:w="561"/>
        <w:gridCol w:w="561"/>
        <w:gridCol w:w="561"/>
        <w:gridCol w:w="58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555" w:hRule="atLeast"/>
        </w:trPr>
        <w:tc>
          <w:tcPr>
            <w:tcW w:w="2856" w:type="dxa"/>
            <w:gridSpan w:val="5"/>
            <w:vAlign w:val="center"/>
          </w:tcPr>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jc w:val="center"/>
              <w:textAlignment w:val="auto"/>
              <w:outlineLvl w:val="9"/>
              <w:rPr>
                <w:bCs/>
                <w:color w:val="auto"/>
                <w:sz w:val="21"/>
                <w:szCs w:val="21"/>
              </w:rPr>
            </w:pPr>
            <w:r>
              <w:rPr>
                <w:rFonts w:hint="eastAsia"/>
                <w:bCs/>
                <w:color w:val="auto"/>
                <w:sz w:val="21"/>
                <w:szCs w:val="21"/>
              </w:rPr>
              <w:t>行政复议</w:t>
            </w:r>
          </w:p>
        </w:tc>
        <w:tc>
          <w:tcPr>
            <w:tcW w:w="5666" w:type="dxa"/>
            <w:gridSpan w:val="10"/>
            <w:vAlign w:val="center"/>
          </w:tcPr>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jc w:val="center"/>
              <w:textAlignment w:val="auto"/>
              <w:outlineLvl w:val="9"/>
              <w:rPr>
                <w:bCs/>
                <w:color w:val="auto"/>
                <w:sz w:val="21"/>
                <w:szCs w:val="21"/>
              </w:rPr>
            </w:pPr>
            <w:r>
              <w:rPr>
                <w:rFonts w:hint="eastAsia"/>
                <w:bCs/>
                <w:color w:val="auto"/>
                <w:sz w:val="21"/>
                <w:szCs w:val="21"/>
              </w:rPr>
              <w:t>行政诉讼</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555" w:hRule="atLeast"/>
        </w:trPr>
        <w:tc>
          <w:tcPr>
            <w:tcW w:w="566" w:type="dxa"/>
            <w:vMerge w:val="restart"/>
            <w:vAlign w:val="center"/>
          </w:tcPr>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jc w:val="center"/>
              <w:textAlignment w:val="auto"/>
              <w:outlineLvl w:val="9"/>
              <w:rPr>
                <w:bCs/>
                <w:color w:val="auto"/>
                <w:sz w:val="21"/>
                <w:szCs w:val="21"/>
              </w:rPr>
            </w:pPr>
            <w:r>
              <w:rPr>
                <w:rFonts w:hint="eastAsia"/>
                <w:bCs/>
                <w:color w:val="auto"/>
                <w:sz w:val="21"/>
                <w:szCs w:val="21"/>
              </w:rPr>
              <w:t>结果维持</w:t>
            </w:r>
          </w:p>
        </w:tc>
        <w:tc>
          <w:tcPr>
            <w:tcW w:w="567" w:type="dxa"/>
            <w:vMerge w:val="restart"/>
            <w:vAlign w:val="center"/>
          </w:tcPr>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jc w:val="center"/>
              <w:textAlignment w:val="auto"/>
              <w:outlineLvl w:val="9"/>
              <w:rPr>
                <w:bCs/>
                <w:color w:val="auto"/>
                <w:sz w:val="21"/>
                <w:szCs w:val="21"/>
              </w:rPr>
            </w:pPr>
            <w:r>
              <w:rPr>
                <w:rFonts w:hint="eastAsia"/>
                <w:bCs/>
                <w:color w:val="auto"/>
                <w:sz w:val="21"/>
                <w:szCs w:val="21"/>
              </w:rPr>
              <w:t>结果纠正</w:t>
            </w:r>
          </w:p>
        </w:tc>
        <w:tc>
          <w:tcPr>
            <w:tcW w:w="567" w:type="dxa"/>
            <w:vMerge w:val="restart"/>
            <w:vAlign w:val="center"/>
          </w:tcPr>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jc w:val="center"/>
              <w:textAlignment w:val="auto"/>
              <w:outlineLvl w:val="9"/>
              <w:rPr>
                <w:bCs/>
                <w:color w:val="auto"/>
                <w:sz w:val="21"/>
                <w:szCs w:val="21"/>
              </w:rPr>
            </w:pPr>
            <w:r>
              <w:rPr>
                <w:rFonts w:hint="eastAsia"/>
                <w:bCs/>
                <w:color w:val="auto"/>
                <w:sz w:val="21"/>
                <w:szCs w:val="21"/>
              </w:rPr>
              <w:t>其他结果</w:t>
            </w:r>
          </w:p>
        </w:tc>
        <w:tc>
          <w:tcPr>
            <w:tcW w:w="567" w:type="dxa"/>
            <w:vMerge w:val="restart"/>
            <w:vAlign w:val="center"/>
          </w:tcPr>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jc w:val="center"/>
              <w:textAlignment w:val="auto"/>
              <w:outlineLvl w:val="9"/>
              <w:rPr>
                <w:bCs/>
                <w:color w:val="auto"/>
                <w:sz w:val="21"/>
                <w:szCs w:val="21"/>
              </w:rPr>
            </w:pPr>
            <w:r>
              <w:rPr>
                <w:rFonts w:hint="eastAsia"/>
                <w:bCs/>
                <w:color w:val="auto"/>
                <w:sz w:val="21"/>
                <w:szCs w:val="21"/>
              </w:rPr>
              <w:t>尚未审结</w:t>
            </w:r>
          </w:p>
        </w:tc>
        <w:tc>
          <w:tcPr>
            <w:tcW w:w="589" w:type="dxa"/>
            <w:vMerge w:val="restart"/>
            <w:vAlign w:val="center"/>
          </w:tcPr>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jc w:val="center"/>
              <w:textAlignment w:val="auto"/>
              <w:outlineLvl w:val="9"/>
              <w:rPr>
                <w:bCs/>
                <w:color w:val="auto"/>
                <w:sz w:val="21"/>
                <w:szCs w:val="21"/>
              </w:rPr>
            </w:pPr>
            <w:r>
              <w:rPr>
                <w:rFonts w:hint="eastAsia"/>
                <w:bCs/>
                <w:color w:val="auto"/>
                <w:sz w:val="21"/>
                <w:szCs w:val="21"/>
              </w:rPr>
              <w:t>总计</w:t>
            </w:r>
          </w:p>
        </w:tc>
        <w:tc>
          <w:tcPr>
            <w:tcW w:w="2833" w:type="dxa"/>
            <w:gridSpan w:val="5"/>
            <w:vAlign w:val="center"/>
          </w:tcPr>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jc w:val="center"/>
              <w:textAlignment w:val="auto"/>
              <w:outlineLvl w:val="9"/>
              <w:rPr>
                <w:bCs/>
                <w:color w:val="auto"/>
                <w:sz w:val="21"/>
                <w:szCs w:val="21"/>
              </w:rPr>
            </w:pPr>
            <w:r>
              <w:rPr>
                <w:rFonts w:hint="eastAsia"/>
                <w:bCs/>
                <w:color w:val="auto"/>
                <w:sz w:val="21"/>
                <w:szCs w:val="21"/>
              </w:rPr>
              <w:t>未经复议直接起诉</w:t>
            </w:r>
          </w:p>
        </w:tc>
        <w:tc>
          <w:tcPr>
            <w:tcW w:w="2833" w:type="dxa"/>
            <w:gridSpan w:val="5"/>
            <w:vAlign w:val="center"/>
          </w:tcPr>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jc w:val="center"/>
              <w:textAlignment w:val="auto"/>
              <w:outlineLvl w:val="9"/>
              <w:rPr>
                <w:bCs/>
                <w:color w:val="auto"/>
                <w:sz w:val="21"/>
                <w:szCs w:val="21"/>
              </w:rPr>
            </w:pPr>
            <w:r>
              <w:rPr>
                <w:rFonts w:hint="eastAsia"/>
                <w:bCs/>
                <w:color w:val="auto"/>
                <w:sz w:val="21"/>
                <w:szCs w:val="21"/>
              </w:rPr>
              <w:t>复议后起诉</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555" w:hRule="atLeast"/>
        </w:trPr>
        <w:tc>
          <w:tcPr>
            <w:tcW w:w="566" w:type="dxa"/>
            <w:vMerge w:val="continue"/>
            <w:vAlign w:val="center"/>
          </w:tcPr>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jc w:val="center"/>
              <w:textAlignment w:val="auto"/>
              <w:outlineLvl w:val="9"/>
              <w:rPr>
                <w:bCs/>
                <w:color w:val="auto"/>
                <w:sz w:val="21"/>
                <w:szCs w:val="21"/>
              </w:rPr>
            </w:pPr>
          </w:p>
        </w:tc>
        <w:tc>
          <w:tcPr>
            <w:tcW w:w="567" w:type="dxa"/>
            <w:vMerge w:val="continue"/>
            <w:vAlign w:val="center"/>
          </w:tcPr>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jc w:val="center"/>
              <w:textAlignment w:val="auto"/>
              <w:outlineLvl w:val="9"/>
              <w:rPr>
                <w:bCs/>
                <w:color w:val="auto"/>
                <w:sz w:val="21"/>
                <w:szCs w:val="21"/>
              </w:rPr>
            </w:pPr>
          </w:p>
        </w:tc>
        <w:tc>
          <w:tcPr>
            <w:tcW w:w="567" w:type="dxa"/>
            <w:vMerge w:val="continue"/>
            <w:vAlign w:val="center"/>
          </w:tcPr>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jc w:val="center"/>
              <w:textAlignment w:val="auto"/>
              <w:outlineLvl w:val="9"/>
              <w:rPr>
                <w:bCs/>
                <w:color w:val="auto"/>
                <w:sz w:val="21"/>
                <w:szCs w:val="21"/>
              </w:rPr>
            </w:pPr>
          </w:p>
        </w:tc>
        <w:tc>
          <w:tcPr>
            <w:tcW w:w="567" w:type="dxa"/>
            <w:vMerge w:val="continue"/>
            <w:vAlign w:val="center"/>
          </w:tcPr>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jc w:val="center"/>
              <w:textAlignment w:val="auto"/>
              <w:outlineLvl w:val="9"/>
              <w:rPr>
                <w:bCs/>
                <w:color w:val="auto"/>
                <w:sz w:val="21"/>
                <w:szCs w:val="21"/>
              </w:rPr>
            </w:pPr>
          </w:p>
        </w:tc>
        <w:tc>
          <w:tcPr>
            <w:tcW w:w="589" w:type="dxa"/>
            <w:vMerge w:val="continue"/>
            <w:vAlign w:val="center"/>
          </w:tcPr>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jc w:val="center"/>
              <w:textAlignment w:val="auto"/>
              <w:outlineLvl w:val="9"/>
              <w:rPr>
                <w:bCs/>
                <w:color w:val="auto"/>
                <w:sz w:val="21"/>
                <w:szCs w:val="21"/>
              </w:rPr>
            </w:pPr>
          </w:p>
        </w:tc>
        <w:tc>
          <w:tcPr>
            <w:tcW w:w="561" w:type="dxa"/>
            <w:vAlign w:val="center"/>
          </w:tcPr>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jc w:val="center"/>
              <w:textAlignment w:val="auto"/>
              <w:outlineLvl w:val="9"/>
              <w:rPr>
                <w:bCs/>
                <w:color w:val="auto"/>
                <w:sz w:val="21"/>
                <w:szCs w:val="21"/>
              </w:rPr>
            </w:pPr>
            <w:r>
              <w:rPr>
                <w:rFonts w:hint="eastAsia"/>
                <w:bCs/>
                <w:color w:val="auto"/>
                <w:sz w:val="21"/>
                <w:szCs w:val="21"/>
              </w:rPr>
              <w:t>结果维持</w:t>
            </w:r>
          </w:p>
        </w:tc>
        <w:tc>
          <w:tcPr>
            <w:tcW w:w="561" w:type="dxa"/>
            <w:vAlign w:val="center"/>
          </w:tcPr>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jc w:val="center"/>
              <w:textAlignment w:val="auto"/>
              <w:outlineLvl w:val="9"/>
              <w:rPr>
                <w:bCs/>
                <w:color w:val="auto"/>
                <w:sz w:val="21"/>
                <w:szCs w:val="21"/>
              </w:rPr>
            </w:pPr>
            <w:r>
              <w:rPr>
                <w:rFonts w:hint="eastAsia"/>
                <w:bCs/>
                <w:color w:val="auto"/>
                <w:sz w:val="21"/>
                <w:szCs w:val="21"/>
              </w:rPr>
              <w:t>结果纠正</w:t>
            </w:r>
          </w:p>
        </w:tc>
        <w:tc>
          <w:tcPr>
            <w:tcW w:w="561" w:type="dxa"/>
            <w:vAlign w:val="center"/>
          </w:tcPr>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jc w:val="center"/>
              <w:textAlignment w:val="auto"/>
              <w:outlineLvl w:val="9"/>
              <w:rPr>
                <w:bCs/>
                <w:color w:val="auto"/>
                <w:sz w:val="21"/>
                <w:szCs w:val="21"/>
              </w:rPr>
            </w:pPr>
            <w:r>
              <w:rPr>
                <w:rFonts w:hint="eastAsia"/>
                <w:bCs/>
                <w:color w:val="auto"/>
                <w:sz w:val="21"/>
                <w:szCs w:val="21"/>
              </w:rPr>
              <w:t>其他结果</w:t>
            </w:r>
          </w:p>
        </w:tc>
        <w:tc>
          <w:tcPr>
            <w:tcW w:w="561" w:type="dxa"/>
            <w:vAlign w:val="center"/>
          </w:tcPr>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jc w:val="center"/>
              <w:textAlignment w:val="auto"/>
              <w:outlineLvl w:val="9"/>
              <w:rPr>
                <w:bCs/>
                <w:color w:val="auto"/>
                <w:sz w:val="21"/>
                <w:szCs w:val="21"/>
              </w:rPr>
            </w:pPr>
            <w:r>
              <w:rPr>
                <w:rFonts w:hint="eastAsia"/>
                <w:bCs/>
                <w:color w:val="auto"/>
                <w:sz w:val="21"/>
                <w:szCs w:val="21"/>
              </w:rPr>
              <w:t>尚未审结</w:t>
            </w:r>
          </w:p>
        </w:tc>
        <w:tc>
          <w:tcPr>
            <w:tcW w:w="589" w:type="dxa"/>
            <w:vAlign w:val="center"/>
          </w:tcPr>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jc w:val="center"/>
              <w:textAlignment w:val="auto"/>
              <w:outlineLvl w:val="9"/>
              <w:rPr>
                <w:bCs/>
                <w:color w:val="auto"/>
                <w:sz w:val="21"/>
                <w:szCs w:val="21"/>
              </w:rPr>
            </w:pPr>
            <w:r>
              <w:rPr>
                <w:rFonts w:hint="eastAsia"/>
                <w:bCs/>
                <w:color w:val="auto"/>
                <w:sz w:val="21"/>
                <w:szCs w:val="21"/>
              </w:rPr>
              <w:t>总计</w:t>
            </w:r>
          </w:p>
        </w:tc>
        <w:tc>
          <w:tcPr>
            <w:tcW w:w="561" w:type="dxa"/>
            <w:vAlign w:val="center"/>
          </w:tcPr>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jc w:val="center"/>
              <w:textAlignment w:val="auto"/>
              <w:outlineLvl w:val="9"/>
              <w:rPr>
                <w:bCs/>
                <w:color w:val="auto"/>
                <w:sz w:val="21"/>
                <w:szCs w:val="21"/>
              </w:rPr>
            </w:pPr>
            <w:r>
              <w:rPr>
                <w:rFonts w:hint="eastAsia"/>
                <w:bCs/>
                <w:color w:val="auto"/>
                <w:sz w:val="21"/>
                <w:szCs w:val="21"/>
              </w:rPr>
              <w:t>结果维持</w:t>
            </w:r>
          </w:p>
        </w:tc>
        <w:tc>
          <w:tcPr>
            <w:tcW w:w="561" w:type="dxa"/>
            <w:vAlign w:val="center"/>
          </w:tcPr>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jc w:val="center"/>
              <w:textAlignment w:val="auto"/>
              <w:outlineLvl w:val="9"/>
              <w:rPr>
                <w:bCs/>
                <w:color w:val="auto"/>
                <w:sz w:val="21"/>
                <w:szCs w:val="21"/>
              </w:rPr>
            </w:pPr>
            <w:r>
              <w:rPr>
                <w:rFonts w:hint="eastAsia"/>
                <w:bCs/>
                <w:color w:val="auto"/>
                <w:sz w:val="21"/>
                <w:szCs w:val="21"/>
              </w:rPr>
              <w:t>结果纠正</w:t>
            </w:r>
          </w:p>
        </w:tc>
        <w:tc>
          <w:tcPr>
            <w:tcW w:w="561" w:type="dxa"/>
            <w:vAlign w:val="center"/>
          </w:tcPr>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jc w:val="center"/>
              <w:textAlignment w:val="auto"/>
              <w:outlineLvl w:val="9"/>
              <w:rPr>
                <w:bCs/>
                <w:color w:val="auto"/>
                <w:sz w:val="21"/>
                <w:szCs w:val="21"/>
              </w:rPr>
            </w:pPr>
            <w:r>
              <w:rPr>
                <w:rFonts w:hint="eastAsia"/>
                <w:bCs/>
                <w:color w:val="auto"/>
                <w:sz w:val="21"/>
                <w:szCs w:val="21"/>
              </w:rPr>
              <w:t>其他结果</w:t>
            </w:r>
          </w:p>
        </w:tc>
        <w:tc>
          <w:tcPr>
            <w:tcW w:w="561" w:type="dxa"/>
            <w:vAlign w:val="center"/>
          </w:tcPr>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jc w:val="center"/>
              <w:textAlignment w:val="auto"/>
              <w:outlineLvl w:val="9"/>
              <w:rPr>
                <w:bCs/>
                <w:color w:val="auto"/>
                <w:sz w:val="21"/>
                <w:szCs w:val="21"/>
              </w:rPr>
            </w:pPr>
            <w:r>
              <w:rPr>
                <w:rFonts w:hint="eastAsia"/>
                <w:bCs/>
                <w:color w:val="auto"/>
                <w:sz w:val="21"/>
                <w:szCs w:val="21"/>
              </w:rPr>
              <w:t>尚未审结</w:t>
            </w:r>
          </w:p>
        </w:tc>
        <w:tc>
          <w:tcPr>
            <w:tcW w:w="589" w:type="dxa"/>
            <w:vAlign w:val="center"/>
          </w:tcPr>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jc w:val="center"/>
              <w:textAlignment w:val="auto"/>
              <w:outlineLvl w:val="9"/>
              <w:rPr>
                <w:bCs/>
                <w:color w:val="auto"/>
                <w:sz w:val="21"/>
                <w:szCs w:val="21"/>
              </w:rPr>
            </w:pPr>
            <w:r>
              <w:rPr>
                <w:rFonts w:hint="eastAsia"/>
                <w:bCs/>
                <w:color w:val="auto"/>
                <w:sz w:val="21"/>
                <w:szCs w:val="21"/>
              </w:rPr>
              <w:t>总计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645" w:hRule="atLeast"/>
        </w:trPr>
        <w:tc>
          <w:tcPr>
            <w:tcW w:w="566" w:type="dxa"/>
            <w:vAlign w:val="center"/>
          </w:tcPr>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jc w:val="center"/>
              <w:textAlignment w:val="auto"/>
              <w:outlineLvl w:val="9"/>
              <w:rPr>
                <w:rFonts w:hint="default" w:eastAsia="宋体"/>
                <w:color w:val="auto"/>
                <w:lang w:val="en-US" w:eastAsia="zh-CN"/>
              </w:rPr>
            </w:pPr>
            <w:r>
              <w:rPr>
                <w:rFonts w:hint="eastAsia"/>
                <w:color w:val="auto"/>
                <w:lang w:val="en-US" w:eastAsia="zh-CN"/>
              </w:rPr>
              <w:t>1</w:t>
            </w:r>
          </w:p>
        </w:tc>
        <w:tc>
          <w:tcPr>
            <w:tcW w:w="567" w:type="dxa"/>
            <w:vAlign w:val="center"/>
          </w:tcPr>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jc w:val="center"/>
              <w:textAlignment w:val="auto"/>
              <w:outlineLvl w:val="9"/>
              <w:rPr>
                <w:rFonts w:hint="eastAsia" w:eastAsia="宋体"/>
                <w:color w:val="auto"/>
                <w:lang w:eastAsia="zh-CN"/>
              </w:rPr>
            </w:pPr>
            <w:r>
              <w:rPr>
                <w:rFonts w:hint="eastAsia"/>
                <w:color w:val="auto"/>
                <w:lang w:val="en-US" w:eastAsia="zh-CN"/>
              </w:rPr>
              <w:t>1</w:t>
            </w:r>
          </w:p>
        </w:tc>
        <w:tc>
          <w:tcPr>
            <w:tcW w:w="567" w:type="dxa"/>
            <w:vAlign w:val="center"/>
          </w:tcPr>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jc w:val="center"/>
              <w:textAlignment w:val="auto"/>
              <w:outlineLvl w:val="9"/>
              <w:rPr>
                <w:rFonts w:hint="eastAsia" w:eastAsia="宋体"/>
                <w:color w:val="auto"/>
                <w:lang w:eastAsia="zh-CN"/>
              </w:rPr>
            </w:pPr>
            <w:r>
              <w:rPr>
                <w:rFonts w:hint="eastAsia"/>
                <w:color w:val="auto"/>
                <w:lang w:val="en-US" w:eastAsia="zh-CN"/>
              </w:rPr>
              <w:t>0</w:t>
            </w:r>
          </w:p>
        </w:tc>
        <w:tc>
          <w:tcPr>
            <w:tcW w:w="567" w:type="dxa"/>
            <w:vAlign w:val="center"/>
          </w:tcPr>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jc w:val="center"/>
              <w:textAlignment w:val="auto"/>
              <w:outlineLvl w:val="9"/>
              <w:rPr>
                <w:color w:val="auto"/>
              </w:rPr>
            </w:pPr>
            <w:r>
              <w:rPr>
                <w:color w:val="auto"/>
              </w:rPr>
              <w:t>0</w:t>
            </w:r>
          </w:p>
        </w:tc>
        <w:tc>
          <w:tcPr>
            <w:tcW w:w="589" w:type="dxa"/>
            <w:vAlign w:val="center"/>
          </w:tcPr>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jc w:val="center"/>
              <w:textAlignment w:val="auto"/>
              <w:outlineLvl w:val="9"/>
              <w:rPr>
                <w:rFonts w:hint="eastAsia" w:eastAsia="宋体"/>
                <w:color w:val="auto"/>
                <w:lang w:eastAsia="zh-CN"/>
              </w:rPr>
            </w:pPr>
            <w:r>
              <w:rPr>
                <w:rFonts w:hint="eastAsia"/>
                <w:color w:val="auto"/>
                <w:lang w:val="en-US" w:eastAsia="zh-CN"/>
              </w:rPr>
              <w:t>2</w:t>
            </w:r>
          </w:p>
        </w:tc>
        <w:tc>
          <w:tcPr>
            <w:tcW w:w="561" w:type="dxa"/>
            <w:vAlign w:val="center"/>
          </w:tcPr>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jc w:val="center"/>
              <w:textAlignment w:val="auto"/>
              <w:outlineLvl w:val="9"/>
              <w:rPr>
                <w:color w:val="auto"/>
              </w:rPr>
            </w:pPr>
            <w:r>
              <w:rPr>
                <w:color w:val="auto"/>
              </w:rPr>
              <w:t>0</w:t>
            </w:r>
          </w:p>
        </w:tc>
        <w:tc>
          <w:tcPr>
            <w:tcW w:w="561" w:type="dxa"/>
            <w:vAlign w:val="center"/>
          </w:tcPr>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jc w:val="center"/>
              <w:textAlignment w:val="auto"/>
              <w:outlineLvl w:val="9"/>
              <w:rPr>
                <w:color w:val="auto"/>
              </w:rPr>
            </w:pPr>
            <w:r>
              <w:rPr>
                <w:color w:val="auto"/>
              </w:rPr>
              <w:t>0</w:t>
            </w:r>
          </w:p>
        </w:tc>
        <w:tc>
          <w:tcPr>
            <w:tcW w:w="561" w:type="dxa"/>
            <w:vAlign w:val="center"/>
          </w:tcPr>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jc w:val="center"/>
              <w:textAlignment w:val="auto"/>
              <w:outlineLvl w:val="9"/>
              <w:rPr>
                <w:rFonts w:hint="eastAsia" w:eastAsia="宋体"/>
                <w:color w:val="auto"/>
                <w:lang w:eastAsia="zh-CN"/>
              </w:rPr>
            </w:pPr>
            <w:r>
              <w:rPr>
                <w:rFonts w:hint="eastAsia"/>
                <w:color w:val="auto"/>
                <w:lang w:val="en-US" w:eastAsia="zh-CN"/>
              </w:rPr>
              <w:t>0</w:t>
            </w:r>
          </w:p>
        </w:tc>
        <w:tc>
          <w:tcPr>
            <w:tcW w:w="561" w:type="dxa"/>
            <w:vAlign w:val="center"/>
          </w:tcPr>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jc w:val="center"/>
              <w:textAlignment w:val="auto"/>
              <w:outlineLvl w:val="9"/>
              <w:rPr>
                <w:color w:val="auto"/>
              </w:rPr>
            </w:pPr>
            <w:r>
              <w:rPr>
                <w:color w:val="auto"/>
              </w:rPr>
              <w:t>0</w:t>
            </w:r>
          </w:p>
        </w:tc>
        <w:tc>
          <w:tcPr>
            <w:tcW w:w="589" w:type="dxa"/>
            <w:vAlign w:val="center"/>
          </w:tcPr>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jc w:val="center"/>
              <w:textAlignment w:val="auto"/>
              <w:outlineLvl w:val="9"/>
              <w:rPr>
                <w:rFonts w:hint="eastAsia" w:eastAsia="宋体"/>
                <w:color w:val="auto"/>
                <w:lang w:eastAsia="zh-CN"/>
              </w:rPr>
            </w:pPr>
            <w:r>
              <w:rPr>
                <w:rFonts w:hint="eastAsia"/>
                <w:color w:val="auto"/>
                <w:lang w:val="en-US" w:eastAsia="zh-CN"/>
              </w:rPr>
              <w:t>0</w:t>
            </w:r>
          </w:p>
        </w:tc>
        <w:tc>
          <w:tcPr>
            <w:tcW w:w="561" w:type="dxa"/>
            <w:vAlign w:val="center"/>
          </w:tcPr>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jc w:val="center"/>
              <w:textAlignment w:val="auto"/>
              <w:outlineLvl w:val="9"/>
              <w:rPr>
                <w:rFonts w:hint="eastAsia" w:eastAsia="宋体"/>
                <w:color w:val="auto"/>
                <w:lang w:eastAsia="zh-CN"/>
              </w:rPr>
            </w:pPr>
            <w:r>
              <w:rPr>
                <w:rFonts w:hint="eastAsia"/>
                <w:color w:val="auto"/>
                <w:lang w:val="en-US" w:eastAsia="zh-CN"/>
              </w:rPr>
              <w:t>0</w:t>
            </w:r>
          </w:p>
        </w:tc>
        <w:tc>
          <w:tcPr>
            <w:tcW w:w="561" w:type="dxa"/>
            <w:vAlign w:val="center"/>
          </w:tcPr>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jc w:val="center"/>
              <w:textAlignment w:val="auto"/>
              <w:outlineLvl w:val="9"/>
              <w:rPr>
                <w:color w:val="auto"/>
              </w:rPr>
            </w:pPr>
            <w:r>
              <w:rPr>
                <w:color w:val="auto"/>
              </w:rPr>
              <w:t>0</w:t>
            </w:r>
          </w:p>
        </w:tc>
        <w:tc>
          <w:tcPr>
            <w:tcW w:w="561" w:type="dxa"/>
            <w:vAlign w:val="center"/>
          </w:tcPr>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jc w:val="center"/>
              <w:textAlignment w:val="auto"/>
              <w:outlineLvl w:val="9"/>
              <w:rPr>
                <w:color w:val="auto"/>
              </w:rPr>
            </w:pPr>
            <w:r>
              <w:rPr>
                <w:color w:val="auto"/>
              </w:rPr>
              <w:t>0</w:t>
            </w:r>
          </w:p>
        </w:tc>
        <w:tc>
          <w:tcPr>
            <w:tcW w:w="561" w:type="dxa"/>
            <w:vAlign w:val="center"/>
          </w:tcPr>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jc w:val="center"/>
              <w:textAlignment w:val="auto"/>
              <w:outlineLvl w:val="9"/>
              <w:rPr>
                <w:rFonts w:hint="eastAsia" w:eastAsia="宋体"/>
                <w:color w:val="auto"/>
                <w:lang w:eastAsia="zh-CN"/>
              </w:rPr>
            </w:pPr>
            <w:r>
              <w:rPr>
                <w:rFonts w:hint="eastAsia"/>
                <w:color w:val="auto"/>
                <w:lang w:val="en-US" w:eastAsia="zh-CN"/>
              </w:rPr>
              <w:t>0</w:t>
            </w:r>
          </w:p>
        </w:tc>
        <w:tc>
          <w:tcPr>
            <w:tcW w:w="589" w:type="dxa"/>
            <w:vAlign w:val="center"/>
          </w:tcPr>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jc w:val="center"/>
              <w:textAlignment w:val="auto"/>
              <w:outlineLvl w:val="9"/>
              <w:rPr>
                <w:rFonts w:hint="eastAsia" w:eastAsia="宋体"/>
                <w:color w:val="auto"/>
                <w:lang w:eastAsia="zh-CN"/>
              </w:rPr>
            </w:pPr>
            <w:r>
              <w:rPr>
                <w:rFonts w:hint="eastAsia"/>
                <w:color w:val="auto"/>
                <w:lang w:val="en-US" w:eastAsia="zh-CN"/>
              </w:rPr>
              <w:t>0</w:t>
            </w:r>
          </w:p>
        </w:tc>
      </w:tr>
    </w:tbl>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27" w:firstLineChars="196"/>
        <w:textAlignment w:val="auto"/>
        <w:outlineLvl w:val="9"/>
      </w:pPr>
      <w:r>
        <w:rPr>
          <w:rFonts w:hint="eastAsia" w:ascii="黑体" w:hAnsi="黑体" w:eastAsia="黑体"/>
          <w:b w:val="0"/>
          <w:bCs/>
          <w:sz w:val="32"/>
          <w:szCs w:val="32"/>
        </w:rPr>
        <w:t>五、政府信息公开工作存在的主要问题和改进情况</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2020年，我局政府信息公开工作总体上运行良好，但是也存在一些不足：一是由于警务工作的特殊性，信息公开的内容还不够全面；二是政府信息公开接待室需加强建设，三是依申请公开工作流程需进一步规范。</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2021年，我局将采取切实有效措施加以改进：一是拓宽公开范围。优化警务自媒体等平台，围绕群众关心的交通出行、消防安全、安全防范、社会巡防、安全提示和窗口服务等内容开展信息公开，提升公安信息价值，提高信息的可读性和吸引力。二是优化接待环境。分局将建设更加规范的政府信息公开接待室，方便群众</w:t>
      </w:r>
      <w:r>
        <w:rPr>
          <w:rFonts w:hint="eastAsia" w:ascii="仿宋_GB2312" w:hAnsi="仿宋_GB2312" w:eastAsia="仿宋_GB2312" w:cs="仿宋_GB2312"/>
          <w:sz w:val="32"/>
          <w:szCs w:val="32"/>
          <w:lang w:eastAsia="zh-CN"/>
        </w:rPr>
        <w:t>办理</w:t>
      </w:r>
      <w:r>
        <w:rPr>
          <w:rFonts w:hint="eastAsia" w:ascii="仿宋_GB2312" w:hAnsi="仿宋_GB2312" w:eastAsia="仿宋_GB2312" w:cs="仿宋_GB2312"/>
          <w:sz w:val="32"/>
          <w:szCs w:val="32"/>
        </w:rPr>
        <w:t>依申请公开</w:t>
      </w:r>
      <w:r>
        <w:rPr>
          <w:rFonts w:hint="eastAsia" w:ascii="仿宋_GB2312" w:hAnsi="仿宋_GB2312" w:eastAsia="仿宋_GB2312" w:cs="仿宋_GB2312"/>
          <w:sz w:val="32"/>
          <w:szCs w:val="32"/>
          <w:lang w:eastAsia="zh-CN"/>
        </w:rPr>
        <w:t>事项</w:t>
      </w:r>
      <w:r>
        <w:rPr>
          <w:rFonts w:hint="eastAsia" w:ascii="仿宋_GB2312" w:hAnsi="仿宋_GB2312" w:eastAsia="仿宋_GB2312" w:cs="仿宋_GB2312"/>
          <w:sz w:val="32"/>
          <w:szCs w:val="32"/>
        </w:rPr>
        <w:t>，赢得社会公众对政府信息公开工作更多信任和支持。三是加强业务培训。针对政府信息依申请公开工作不断出现的新情况、新问题，通过开展业务培训，不断提高民警的专业素养，从而提升服务水平。</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27" w:firstLineChars="196"/>
        <w:textAlignment w:val="auto"/>
        <w:outlineLvl w:val="9"/>
        <w:rPr>
          <w:rFonts w:ascii="黑体" w:hAnsi="黑体" w:eastAsia="黑体"/>
          <w:b w:val="0"/>
          <w:bCs/>
          <w:sz w:val="32"/>
          <w:szCs w:val="32"/>
        </w:rPr>
      </w:pPr>
      <w:r>
        <w:rPr>
          <w:rFonts w:hint="eastAsia" w:ascii="黑体" w:hAnsi="黑体" w:eastAsia="黑体"/>
          <w:b w:val="0"/>
          <w:bCs/>
          <w:sz w:val="32"/>
          <w:szCs w:val="32"/>
        </w:rPr>
        <w:t>六、其他需要报告的事项</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北京市公安局门户网站（“北京市公安局”）网址为http://gaj.beijing.gov.cn/，如需了解更多政府信息，请登录查询。</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right"/>
        <w:textAlignment w:val="auto"/>
        <w:outlineLvl w:val="9"/>
        <w:rPr>
          <w:rFonts w:hint="default" w:ascii="仿宋" w:hAnsi="仿宋" w:eastAsia="仿宋"/>
          <w:sz w:val="32"/>
          <w:szCs w:val="32"/>
          <w:lang w:val="en-US" w:eastAsia="zh-CN"/>
        </w:rPr>
      </w:pPr>
    </w:p>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
    <w:altName w:val="微软雅黑"/>
    <w:panose1 w:val="02010609060101010101"/>
    <w:charset w:val="86"/>
    <w:family w:val="modern"/>
    <w:pitch w:val="default"/>
    <w:sig w:usb0="00000000" w:usb1="00000000" w:usb2="00000016" w:usb3="00000000" w:csb0="00040001" w:csb1="00000000"/>
  </w:font>
  <w:font w:name="楷体">
    <w:altName w:val="楷体_GB2312"/>
    <w:panose1 w:val="02010609060101010101"/>
    <w:charset w:val="86"/>
    <w:family w:val="modern"/>
    <w:pitch w:val="default"/>
    <w:sig w:usb0="00000000" w:usb1="00000000"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楷体_GB2312">
    <w:panose1 w:val="02010609030101010101"/>
    <w:charset w:val="86"/>
    <w:family w:val="auto"/>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仿宋">
    <w:altName w:val="微软雅黑"/>
    <w:panose1 w:val="00000000000000000000"/>
    <w:charset w:val="00"/>
    <w:family w:val="auto"/>
    <w:pitch w:val="default"/>
    <w:sig w:usb0="00000000" w:usb1="00000000" w:usb2="00000000" w:usb3="00000000" w:csb0="00000000" w:csb1="00000000"/>
  </w:font>
  <w:font w:name="新宋体">
    <w:panose1 w:val="02010609030101010101"/>
    <w:charset w:val="86"/>
    <w:family w:val="auto"/>
    <w:pitch w:val="default"/>
    <w:sig w:usb0="00000003" w:usb1="288F0000" w:usb2="00000006" w:usb3="00000000" w:csb0="00040001" w:csb1="00000000"/>
  </w:font>
  <w:font w:name="Batang">
    <w:panose1 w:val="02030600000101010101"/>
    <w:charset w:val="81"/>
    <w:family w:val="auto"/>
    <w:pitch w:val="default"/>
    <w:sig w:usb0="B00002AF" w:usb1="69D77CFB" w:usb2="00000030" w:usb3="00000000" w:csb0="4008009F" w:csb1="DFD70000"/>
  </w:font>
  <w:font w:name="DFKai-SB">
    <w:panose1 w:val="03000509000000000000"/>
    <w:charset w:val="88"/>
    <w:family w:val="auto"/>
    <w:pitch w:val="default"/>
    <w:sig w:usb0="00000003" w:usb1="082E0000" w:usb2="00000016" w:usb3="00000000" w:csb0="00100001" w:csb1="00000000"/>
  </w:font>
  <w:font w:name="Dotum">
    <w:panose1 w:val="020B0600000101010101"/>
    <w:charset w:val="81"/>
    <w:family w:val="auto"/>
    <w:pitch w:val="default"/>
    <w:sig w:usb0="B00002AF" w:usb1="69D77CFB" w:usb2="00000030" w:usb3="00000000" w:csb0="4008009F" w:csb1="DFD70000"/>
  </w:font>
  <w:font w:name="DotumChe">
    <w:panose1 w:val="020B0609000101010101"/>
    <w:charset w:val="81"/>
    <w:family w:val="auto"/>
    <w:pitch w:val="default"/>
    <w:sig w:usb0="B00002AF" w:usb1="69D77CFB" w:usb2="00000030" w:usb3="00000000" w:csb0="4008009F" w:csb1="DFD70000"/>
  </w:font>
  <w:font w:name="Gulim">
    <w:panose1 w:val="020B0600000101010101"/>
    <w:charset w:val="81"/>
    <w:family w:val="auto"/>
    <w:pitch w:val="default"/>
    <w:sig w:usb0="B00002AF" w:usb1="69D77CFB" w:usb2="00000030" w:usb3="00000000" w:csb0="4008009F" w:csb1="DFD70000"/>
  </w:font>
  <w:font w:name="GulimChe">
    <w:panose1 w:val="020B0609000101010101"/>
    <w:charset w:val="81"/>
    <w:family w:val="auto"/>
    <w:pitch w:val="default"/>
    <w:sig w:usb0="B00002AF" w:usb1="69D77CFB" w:usb2="00000030" w:usb3="00000000" w:csb0="4008009F" w:csb1="DFD70000"/>
  </w:font>
  <w:font w:name="GungsuhChe">
    <w:panose1 w:val="02030609000101010101"/>
    <w:charset w:val="81"/>
    <w:family w:val="auto"/>
    <w:pitch w:val="default"/>
    <w:sig w:usb0="B00002AF" w:usb1="69D77CFB" w:usb2="00000030" w:usb3="00000000" w:csb0="4008009F" w:csb1="DFD70000"/>
  </w:font>
  <w:font w:name="Malgun Gothic">
    <w:panose1 w:val="020B0503020000020004"/>
    <w:charset w:val="81"/>
    <w:family w:val="auto"/>
    <w:pitch w:val="default"/>
    <w:sig w:usb0="900002AF" w:usb1="01D77CFB" w:usb2="00000012" w:usb3="00000000" w:csb0="00080001" w:csb1="00000000"/>
  </w:font>
  <w:font w:name="Meiryo">
    <w:panose1 w:val="020B0604030504040204"/>
    <w:charset w:val="80"/>
    <w:family w:val="auto"/>
    <w:pitch w:val="default"/>
    <w:sig w:usb0="E10102FF" w:usb1="EAC7FFFF" w:usb2="00010012" w:usb3="00000000" w:csb0="6002009F" w:csb1="DFD70000"/>
  </w:font>
  <w:font w:name="MS Gothic">
    <w:panose1 w:val="020B0609070205080204"/>
    <w:charset w:val="80"/>
    <w:family w:val="auto"/>
    <w:pitch w:val="default"/>
    <w:sig w:usb0="E00002FF" w:usb1="6AC7FDFB" w:usb2="00000012" w:usb3="00000000" w:csb0="4002009F" w:csb1="DFD70000"/>
  </w:font>
  <w:font w:name="MS Mincho">
    <w:panose1 w:val="02020609040205080304"/>
    <w:charset w:val="80"/>
    <w:family w:val="auto"/>
    <w:pitch w:val="default"/>
    <w:sig w:usb0="E00002FF" w:usb1="6AC7FDFB" w:usb2="00000012" w:usb3="00000000" w:csb0="4002009F" w:csb1="DFD70000"/>
  </w:font>
  <w:font w:name="MS PMincho">
    <w:panose1 w:val="02020600040205080304"/>
    <w:charset w:val="80"/>
    <w:family w:val="auto"/>
    <w:pitch w:val="default"/>
    <w:sig w:usb0="E00002FF" w:usb1="6AC7FDFB" w:usb2="00000012" w:usb3="00000000" w:csb0="4002009F" w:csb1="DFD70000"/>
  </w:font>
  <w:font w:name="MS UI Gothic">
    <w:panose1 w:val="020B0600070205080204"/>
    <w:charset w:val="80"/>
    <w:family w:val="auto"/>
    <w:pitch w:val="default"/>
    <w:sig w:usb0="E00002FF" w:usb1="6AC7FDFB" w:usb2="00000012" w:usb3="00000000" w:csb0="4002009F" w:csb1="DFD70000"/>
  </w:font>
  <w:font w:name="PMingLiU">
    <w:panose1 w:val="02020500000000000000"/>
    <w:charset w:val="88"/>
    <w:family w:val="auto"/>
    <w:pitch w:val="default"/>
    <w:sig w:usb0="A00002FF" w:usb1="28CFFCFA" w:usb2="00000016" w:usb3="00000000" w:csb0="00100001" w:csb1="00000000"/>
  </w:font>
  <w:font w:name="SimSun-ExtB">
    <w:panose1 w:val="02010609060101010101"/>
    <w:charset w:val="86"/>
    <w:family w:val="auto"/>
    <w:pitch w:val="default"/>
    <w:sig w:usb0="00000001" w:usb1="02000000" w:usb2="00000000" w:usb3="00000000" w:csb0="00040001" w:csb1="00000000"/>
  </w:font>
  <w:font w:name="Aparajita">
    <w:panose1 w:val="020B0604020202020204"/>
    <w:charset w:val="00"/>
    <w:family w:val="auto"/>
    <w:pitch w:val="default"/>
    <w:sig w:usb0="00008003" w:usb1="00000000" w:usb2="00000000" w:usb3="00000000" w:csb0="00000001" w:csb1="00000000"/>
  </w:font>
  <w:font w:name="Estrangelo Edessa">
    <w:panose1 w:val="03080600000000000000"/>
    <w:charset w:val="00"/>
    <w:family w:val="auto"/>
    <w:pitch w:val="default"/>
    <w:sig w:usb0="80002043" w:usb1="00000000" w:usb2="00000080" w:usb3="00000000" w:csb0="00000001" w:csb1="00000000"/>
  </w:font>
  <w:font w:name="Gabriola">
    <w:panose1 w:val="04040605051002020D02"/>
    <w:charset w:val="00"/>
    <w:family w:val="auto"/>
    <w:pitch w:val="default"/>
    <w:sig w:usb0="E00002EF" w:usb1="5000204B" w:usb2="00000000" w:usb3="00000000" w:csb0="2000009F" w:csb1="00000000"/>
  </w:font>
  <w:font w:name="FreesiaUPC">
    <w:panose1 w:val="020B0604020202020204"/>
    <w:charset w:val="00"/>
    <w:family w:val="auto"/>
    <w:pitch w:val="default"/>
    <w:sig w:usb0="01000007" w:usb1="00000002" w:usb2="00000000" w:usb3="00000000" w:csb0="00010001" w:csb1="00000000"/>
  </w:font>
  <w:font w:name="FrankRuehl">
    <w:panose1 w:val="020E0503060101010101"/>
    <w:charset w:val="00"/>
    <w:family w:val="auto"/>
    <w:pitch w:val="default"/>
    <w:sig w:usb0="00000801" w:usb1="00000000" w:usb2="00000000" w:usb3="00000000" w:csb0="00000020" w:csb1="00200000"/>
  </w:font>
  <w:font w:name="Franklin Gothic Medium">
    <w:panose1 w:val="020B0603020102020204"/>
    <w:charset w:val="00"/>
    <w:family w:val="auto"/>
    <w:pitch w:val="default"/>
    <w:sig w:usb0="00000287" w:usb1="00000000" w:usb2="00000000" w:usb3="00000000" w:csb0="2000009F" w:csb1="DFD70000"/>
  </w:font>
  <w:font w:name="Euphemia">
    <w:panose1 w:val="020B0503040102020104"/>
    <w:charset w:val="00"/>
    <w:family w:val="auto"/>
    <w:pitch w:val="default"/>
    <w:sig w:usb0="8000006F" w:usb1="0000004A" w:usb2="00002000" w:usb3="00000000" w:csb0="00000001" w:csb1="00000000"/>
  </w:font>
  <w:font w:name="EucrosiaUPC">
    <w:panose1 w:val="02020603050405020304"/>
    <w:charset w:val="00"/>
    <w:family w:val="auto"/>
    <w:pitch w:val="default"/>
    <w:sig w:usb0="81000027" w:usb1="00000002" w:usb2="00000000" w:usb3="00000000" w:csb0="00010001" w:csb1="00000000"/>
  </w:font>
  <w:font w:name="Gungsuh">
    <w:panose1 w:val="02030600000101010101"/>
    <w:charset w:val="81"/>
    <w:family w:val="auto"/>
    <w:pitch w:val="default"/>
    <w:sig w:usb0="B00002AF" w:usb1="69D77CFB" w:usb2="00000030" w:usb3="00000000" w:csb0="4008009F" w:csb1="DFD70000"/>
  </w:font>
  <w:font w:name="楷体">
    <w:altName w:val="楷体_GB2312"/>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snapToGrid w:val="0"/>
                            <w:rPr>
                              <w:rFonts w:hint="eastAsia" w:eastAsia="宋体"/>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rFonts w:hint="eastAsia"/>
                              <w:sz w:val="18"/>
                              <w:lang w:eastAsia="zh-CN"/>
                            </w:rPr>
                            <w:t>1</w:t>
                          </w:r>
                          <w:r>
                            <w:rPr>
                              <w:rFonts w:hint="eastAsia"/>
                              <w:sz w:val="18"/>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fill on="f" focussize="0,0"/>
              <v:stroke on="f" weight="0.5pt"/>
              <v:imagedata o:title=""/>
              <o:lock v:ext="edit" aspectratio="f"/>
              <v:textbox inset="0mm,0mm,0mm,0mm" style="mso-fit-shape-to-text:t;">
                <w:txbxContent>
                  <w:p>
                    <w:pPr>
                      <w:snapToGrid w:val="0"/>
                      <w:rPr>
                        <w:rFonts w:hint="eastAsia" w:eastAsia="宋体"/>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rFonts w:hint="eastAsia"/>
                        <w:sz w:val="18"/>
                        <w:lang w:eastAsia="zh-CN"/>
                      </w:rPr>
                      <w:t>1</w:t>
                    </w:r>
                    <w:r>
                      <w:rPr>
                        <w:rFonts w:hint="eastAsia"/>
                        <w:sz w:val="18"/>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NotTrackMoves/>
  <w:documentProtection w:enforcement="0"/>
  <w:defaultTabStop w:val="420"/>
  <w:drawingGridVerticalSpacing w:val="156"/>
  <w:displayHorizontalDrawingGridEvery w:val="1"/>
  <w:displayVerticalDrawingGridEvery w:val="1"/>
  <w:noPunctuationKerning w:val="1"/>
  <w:characterSpacingControl w:val="compressPunctuation"/>
  <w:noLineBreaksAfter w:lang="zh-CN" w:val="$([{£¥·‘“〈《「『【〔〖〝﹙﹛﹝＄（．［｛￡￥"/>
  <w:noLineBreaksBefore w:lang="zh-CN" w:val="!%),.:;&gt;?]}¢¨°·ˇˉ―‖’”…‰′″›℃∶、。〃〉》」』】〕〗〞︶︺︾﹀﹄﹚﹜﹞！＂％＇），．：；？］｀｜｝～￠"/>
  <w:compat>
    <w:spaceForUL/>
    <w:balanceSingleByteDoubleByteWidth/>
    <w:doNotLeaveBackslashAlone/>
    <w:ulTrailSpace/>
    <w:doNotExpandShiftReturn/>
    <w:adjustLineHeightInTable/>
    <w:doNotWrapTextWithPunct/>
    <w:doNotUseEastAsianBreakRules/>
    <w:useFELayout/>
    <w:doNotUseIndentAsNumberingTabStop/>
    <w:useAltKinsokuLineBreakRules/>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696A"/>
    <w:rsid w:val="00001433"/>
    <w:rsid w:val="0009218F"/>
    <w:rsid w:val="000C6C50"/>
    <w:rsid w:val="000D7E9F"/>
    <w:rsid w:val="000E2D69"/>
    <w:rsid w:val="001274B5"/>
    <w:rsid w:val="0013696A"/>
    <w:rsid w:val="00141889"/>
    <w:rsid w:val="00142275"/>
    <w:rsid w:val="0014628E"/>
    <w:rsid w:val="00165850"/>
    <w:rsid w:val="001805B9"/>
    <w:rsid w:val="00186F59"/>
    <w:rsid w:val="001F51C9"/>
    <w:rsid w:val="001F706C"/>
    <w:rsid w:val="00257238"/>
    <w:rsid w:val="002F16EA"/>
    <w:rsid w:val="00332787"/>
    <w:rsid w:val="003A7AB5"/>
    <w:rsid w:val="003B7CF5"/>
    <w:rsid w:val="003F6892"/>
    <w:rsid w:val="00440ABD"/>
    <w:rsid w:val="0049541E"/>
    <w:rsid w:val="0049714B"/>
    <w:rsid w:val="004A4F46"/>
    <w:rsid w:val="004B3481"/>
    <w:rsid w:val="004C07BE"/>
    <w:rsid w:val="004C3D86"/>
    <w:rsid w:val="004C7017"/>
    <w:rsid w:val="004E0B16"/>
    <w:rsid w:val="004F7EE2"/>
    <w:rsid w:val="005036EA"/>
    <w:rsid w:val="0054478E"/>
    <w:rsid w:val="00590616"/>
    <w:rsid w:val="00596F43"/>
    <w:rsid w:val="005A6E83"/>
    <w:rsid w:val="005C3376"/>
    <w:rsid w:val="00602B56"/>
    <w:rsid w:val="006075EA"/>
    <w:rsid w:val="006528A1"/>
    <w:rsid w:val="006B140A"/>
    <w:rsid w:val="00703234"/>
    <w:rsid w:val="007206C5"/>
    <w:rsid w:val="007207C2"/>
    <w:rsid w:val="00733303"/>
    <w:rsid w:val="00733A6E"/>
    <w:rsid w:val="00746183"/>
    <w:rsid w:val="00753B3C"/>
    <w:rsid w:val="00756441"/>
    <w:rsid w:val="007702B4"/>
    <w:rsid w:val="007E5C18"/>
    <w:rsid w:val="00813CD3"/>
    <w:rsid w:val="00830D9C"/>
    <w:rsid w:val="00862E21"/>
    <w:rsid w:val="00872F2D"/>
    <w:rsid w:val="00893364"/>
    <w:rsid w:val="00897BEB"/>
    <w:rsid w:val="008D0589"/>
    <w:rsid w:val="008F63B3"/>
    <w:rsid w:val="00905112"/>
    <w:rsid w:val="00905952"/>
    <w:rsid w:val="0093068A"/>
    <w:rsid w:val="009324F1"/>
    <w:rsid w:val="009712B0"/>
    <w:rsid w:val="009F0369"/>
    <w:rsid w:val="00A22D8D"/>
    <w:rsid w:val="00A372ED"/>
    <w:rsid w:val="00AB1DDA"/>
    <w:rsid w:val="00AD433F"/>
    <w:rsid w:val="00B15CC0"/>
    <w:rsid w:val="00BB30B3"/>
    <w:rsid w:val="00BD6C7C"/>
    <w:rsid w:val="00C159FC"/>
    <w:rsid w:val="00C63094"/>
    <w:rsid w:val="00CA3021"/>
    <w:rsid w:val="00CC5BBA"/>
    <w:rsid w:val="00CD6E2D"/>
    <w:rsid w:val="00CE19D5"/>
    <w:rsid w:val="00D16B98"/>
    <w:rsid w:val="00D50244"/>
    <w:rsid w:val="00D64D0D"/>
    <w:rsid w:val="00DD1CCD"/>
    <w:rsid w:val="00DD7726"/>
    <w:rsid w:val="00E00DB4"/>
    <w:rsid w:val="00EA19F0"/>
    <w:rsid w:val="00EA20B3"/>
    <w:rsid w:val="00EB158E"/>
    <w:rsid w:val="00ED11ED"/>
    <w:rsid w:val="00ED1E44"/>
    <w:rsid w:val="00EE501B"/>
    <w:rsid w:val="00F34FAC"/>
    <w:rsid w:val="00F61278"/>
    <w:rsid w:val="00F80417"/>
    <w:rsid w:val="00F81A77"/>
    <w:rsid w:val="00F91C6D"/>
    <w:rsid w:val="00F94912"/>
    <w:rsid w:val="07A12D91"/>
    <w:rsid w:val="09A736DF"/>
    <w:rsid w:val="0BC351F1"/>
    <w:rsid w:val="0C426DA8"/>
    <w:rsid w:val="109B479C"/>
    <w:rsid w:val="12FB43C9"/>
    <w:rsid w:val="164B78A9"/>
    <w:rsid w:val="226B5522"/>
    <w:rsid w:val="230E423F"/>
    <w:rsid w:val="25DB54A6"/>
    <w:rsid w:val="277E7F4E"/>
    <w:rsid w:val="28237FFA"/>
    <w:rsid w:val="287B4C85"/>
    <w:rsid w:val="296114F0"/>
    <w:rsid w:val="2971104E"/>
    <w:rsid w:val="2EF628AA"/>
    <w:rsid w:val="33D934BB"/>
    <w:rsid w:val="342506F9"/>
    <w:rsid w:val="36B124CD"/>
    <w:rsid w:val="3742428A"/>
    <w:rsid w:val="3BE976F1"/>
    <w:rsid w:val="3C3606AA"/>
    <w:rsid w:val="44026DEA"/>
    <w:rsid w:val="494356E4"/>
    <w:rsid w:val="49ED6AC9"/>
    <w:rsid w:val="4BE0654F"/>
    <w:rsid w:val="54EE47F5"/>
    <w:rsid w:val="56C01490"/>
    <w:rsid w:val="579D0870"/>
    <w:rsid w:val="590F5BB0"/>
    <w:rsid w:val="59F9527D"/>
    <w:rsid w:val="5F490709"/>
    <w:rsid w:val="615B3B6F"/>
    <w:rsid w:val="68955427"/>
    <w:rsid w:val="6AA76051"/>
    <w:rsid w:val="6BC96BDC"/>
    <w:rsid w:val="6E5C009C"/>
    <w:rsid w:val="6F004883"/>
    <w:rsid w:val="72730CB3"/>
    <w:rsid w:val="727F5290"/>
    <w:rsid w:val="75A153C0"/>
    <w:rsid w:val="76935061"/>
    <w:rsid w:val="7A260714"/>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name="header"/>
    <w:lsdException w:qFormat="1" w:unhideWhenUsed="0"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4">
    <w:name w:val="Default Paragraph Font"/>
    <w:unhideWhenUsed/>
    <w:qFormat/>
    <w:uiPriority w:val="1"/>
  </w:style>
  <w:style w:type="table" w:default="1" w:styleId="5">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8"/>
    <w:semiHidden/>
    <w:qFormat/>
    <w:uiPriority w:val="99"/>
    <w:pPr>
      <w:tabs>
        <w:tab w:val="center" w:pos="4153"/>
        <w:tab w:val="right" w:pos="8306"/>
      </w:tabs>
      <w:snapToGrid w:val="0"/>
      <w:jc w:val="left"/>
    </w:pPr>
    <w:rPr>
      <w:sz w:val="18"/>
      <w:szCs w:val="18"/>
    </w:rPr>
  </w:style>
  <w:style w:type="paragraph" w:styleId="3">
    <w:name w:val="header"/>
    <w:basedOn w:val="1"/>
    <w:link w:val="7"/>
    <w:semiHidden/>
    <w:qFormat/>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9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character" w:customStyle="1" w:styleId="7">
    <w:name w:val="页眉 Char"/>
    <w:basedOn w:val="4"/>
    <w:link w:val="3"/>
    <w:semiHidden/>
    <w:qFormat/>
    <w:locked/>
    <w:uiPriority w:val="99"/>
    <w:rPr>
      <w:rFonts w:cs="Times New Roman"/>
      <w:sz w:val="18"/>
      <w:szCs w:val="18"/>
    </w:rPr>
  </w:style>
  <w:style w:type="character" w:customStyle="1" w:styleId="8">
    <w:name w:val="页脚 Char"/>
    <w:basedOn w:val="4"/>
    <w:link w:val="2"/>
    <w:semiHidden/>
    <w:qFormat/>
    <w:locked/>
    <w:uiPriority w:val="99"/>
    <w:rPr>
      <w:rFonts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C8EC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7</Pages>
  <Words>460</Words>
  <Characters>2624</Characters>
  <Lines>21</Lines>
  <Paragraphs>6</Paragraphs>
  <ScaleCrop>false</ScaleCrop>
  <LinksUpToDate>false</LinksUpToDate>
  <CharactersWithSpaces>3078</CharactersWithSpaces>
  <Application>WPS Office_10.8.0.6206_F1E327BC-269C-435d-A152-05C5408002CA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2020-01-02T01:32:00Z</dcterms:created>
  <dc:creator>1</dc:creator>
  <cp:lastModifiedBy>szj</cp:lastModifiedBy>
  <cp:lastPrinted>2021-01-08T08:27:00Z</cp:lastPrinted>
  <dcterms:modified xsi:type="dcterms:W3CDTF">2021-01-15T07:43:27Z</dcterms:modified>
  <cp:revision>56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2052-10.8.0.6206</vt:lpwstr>
  </property>
</Properties>
</file>