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北京市公安局</w:t>
      </w:r>
      <w:r>
        <w:rPr>
          <w:rFonts w:hint="eastAsia" w:ascii="Times New Roman" w:hAnsi="Times New Roman" w:eastAsia="方正小标宋简体" w:cs="Times New Roman"/>
          <w:sz w:val="44"/>
          <w:szCs w:val="44"/>
        </w:rPr>
        <w:t>昌平</w:t>
      </w:r>
      <w:r>
        <w:rPr>
          <w:rFonts w:ascii="Times New Roman" w:hAnsi="Times New Roman" w:eastAsia="方正小标宋简体" w:cs="Times New Roman"/>
          <w:sz w:val="44"/>
          <w:szCs w:val="44"/>
        </w:rPr>
        <w:t>分局</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w:t>
      </w:r>
      <w:r>
        <w:rPr>
          <w:rFonts w:hint="eastAsia" w:ascii="Times New Roman" w:hAnsi="Times New Roman" w:eastAsia="方正小标宋简体" w:cs="Times New Roman"/>
          <w:sz w:val="44"/>
          <w:szCs w:val="44"/>
        </w:rPr>
        <w:t>020</w:t>
      </w:r>
      <w:r>
        <w:rPr>
          <w:rFonts w:ascii="Times New Roman" w:hAnsi="Times New Roman" w:eastAsia="方正小标宋简体" w:cs="Times New Roman"/>
          <w:sz w:val="44"/>
          <w:szCs w:val="44"/>
        </w:rPr>
        <w:t>年政府信息公开工作年度报告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依据《中华人民共和国政府信息公开条例》第五</w:t>
      </w:r>
      <w:bookmarkStart w:id="0" w:name="_GoBack"/>
      <w:bookmarkEnd w:id="0"/>
      <w:r>
        <w:rPr>
          <w:rFonts w:hint="eastAsia" w:ascii="Times New Roman" w:hAnsi="Times New Roman" w:eastAsia="仿宋_GB2312" w:cs="Times New Roman"/>
          <w:sz w:val="32"/>
          <w:szCs w:val="32"/>
        </w:rPr>
        <w:t>十条之规定，制作本报告。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Times New Roman" w:hAnsi="Times New Roman" w:eastAsia="黑体" w:cs="Times New Roman"/>
          <w:sz w:val="32"/>
          <w:szCs w:val="32"/>
        </w:rPr>
      </w:pPr>
      <w:r>
        <w:rPr>
          <w:rFonts w:ascii="Times New Roman" w:hAnsi="Times New Roman" w:eastAsia="黑体" w:cs="Times New Roman"/>
          <w:sz w:val="32"/>
          <w:szCs w:val="32"/>
        </w:rPr>
        <w:t>一、总体情况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北京市</w:t>
      </w:r>
      <w:r>
        <w:rPr>
          <w:rFonts w:ascii="Times New Roman" w:hAnsi="Times New Roman" w:eastAsia="仿宋_GB2312" w:cs="Times New Roman"/>
          <w:sz w:val="32"/>
          <w:szCs w:val="32"/>
        </w:rPr>
        <w:t>公安</w:t>
      </w:r>
      <w:r>
        <w:rPr>
          <w:rFonts w:hint="eastAsia" w:ascii="Times New Roman" w:hAnsi="Times New Roman" w:eastAsia="仿宋_GB2312" w:cs="Times New Roman"/>
          <w:sz w:val="32"/>
          <w:szCs w:val="32"/>
        </w:rPr>
        <w:t>局昌平</w:t>
      </w:r>
      <w:r>
        <w:rPr>
          <w:rFonts w:ascii="Times New Roman" w:hAnsi="Times New Roman" w:eastAsia="仿宋_GB2312" w:cs="Times New Roman"/>
          <w:sz w:val="32"/>
          <w:szCs w:val="32"/>
        </w:rPr>
        <w:t>分局坚持以习近平新时代中国特色社会主义思想为指导，全面贯彻落实党的十九大和十九届二中、三中、四中</w:t>
      </w:r>
      <w:r>
        <w:rPr>
          <w:rFonts w:hint="eastAsia" w:ascii="Times New Roman" w:hAnsi="Times New Roman" w:eastAsia="仿宋_GB2312" w:cs="Times New Roman"/>
          <w:sz w:val="32"/>
          <w:szCs w:val="32"/>
        </w:rPr>
        <w:t>、五中</w:t>
      </w:r>
      <w:r>
        <w:rPr>
          <w:rFonts w:ascii="Times New Roman" w:hAnsi="Times New Roman" w:eastAsia="仿宋_GB2312" w:cs="Times New Roman"/>
          <w:sz w:val="32"/>
          <w:szCs w:val="32"/>
        </w:rPr>
        <w:t>全会精神</w:t>
      </w:r>
      <w:r>
        <w:rPr>
          <w:rFonts w:hint="eastAsia" w:ascii="Times New Roman" w:hAnsi="Times New Roman" w:eastAsia="仿宋_GB2312" w:cs="Times New Roman"/>
          <w:sz w:val="32"/>
          <w:szCs w:val="32"/>
        </w:rPr>
        <w:t>，全面体现公安工作 “服务人民”的职能，</w:t>
      </w:r>
      <w:r>
        <w:rPr>
          <w:rFonts w:ascii="Times New Roman" w:hAnsi="Times New Roman" w:eastAsia="仿宋_GB2312" w:cs="Times New Roman"/>
          <w:sz w:val="32"/>
          <w:szCs w:val="32"/>
        </w:rPr>
        <w:t>认真落实《中华人民共和国政府信息公开条例》</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国务院、市政府、区政府</w:t>
      </w:r>
      <w:r>
        <w:rPr>
          <w:rFonts w:hint="eastAsia" w:ascii="Times New Roman" w:hAnsi="Times New Roman" w:eastAsia="仿宋_GB2312" w:cs="Times New Roman"/>
          <w:sz w:val="32"/>
          <w:szCs w:val="32"/>
        </w:rPr>
        <w:t>、市局</w:t>
      </w:r>
      <w:r>
        <w:rPr>
          <w:rFonts w:ascii="Times New Roman" w:hAnsi="Times New Roman" w:eastAsia="仿宋_GB2312" w:cs="Times New Roman"/>
          <w:sz w:val="32"/>
          <w:szCs w:val="32"/>
        </w:rPr>
        <w:t>关于政府信息公开工作各项部署要求，</w:t>
      </w:r>
      <w:r>
        <w:rPr>
          <w:rFonts w:hint="eastAsia" w:ascii="Times New Roman" w:hAnsi="Times New Roman" w:eastAsia="仿宋_GB2312" w:cs="Times New Roman"/>
          <w:sz w:val="32"/>
          <w:szCs w:val="32"/>
        </w:rPr>
        <w:t>主动回应社会关切，最大限度保障人民群众的知情权，最大限度扩展政府信息公开的范围，最大限度丰富政府信息公开的内容，最大限度创新政府信息公开的形式，取得了显著效果。</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主动公开情况</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昌平分局根据公安工作和区域实际，</w:t>
      </w:r>
      <w:r>
        <w:rPr>
          <w:rFonts w:ascii="Times New Roman" w:hAnsi="Times New Roman" w:eastAsia="仿宋_GB2312" w:cs="Times New Roman"/>
          <w:sz w:val="32"/>
          <w:szCs w:val="32"/>
        </w:rPr>
        <w:t>主要通过</w:t>
      </w:r>
      <w:r>
        <w:rPr>
          <w:rFonts w:hint="eastAsia" w:ascii="Times New Roman" w:hAnsi="Times New Roman" w:eastAsia="仿宋_GB2312" w:cs="Times New Roman"/>
          <w:sz w:val="32"/>
          <w:szCs w:val="32"/>
        </w:rPr>
        <w:t>微博、微信、今日头条等群众喜闻乐见的</w:t>
      </w:r>
      <w:r>
        <w:rPr>
          <w:rFonts w:ascii="Times New Roman" w:hAnsi="Times New Roman" w:eastAsia="仿宋_GB2312" w:cs="Times New Roman"/>
          <w:sz w:val="32"/>
          <w:szCs w:val="32"/>
        </w:rPr>
        <w:t>移动新媒体</w:t>
      </w:r>
      <w:r>
        <w:rPr>
          <w:rFonts w:hint="eastAsia" w:ascii="Times New Roman" w:hAnsi="Times New Roman" w:eastAsia="仿宋_GB2312" w:cs="Times New Roman"/>
          <w:sz w:val="32"/>
          <w:szCs w:val="32"/>
        </w:rPr>
        <w:t>方式</w:t>
      </w:r>
      <w:r>
        <w:rPr>
          <w:rFonts w:ascii="Times New Roman" w:hAnsi="Times New Roman" w:eastAsia="仿宋_GB2312" w:cs="Times New Roman"/>
          <w:sz w:val="32"/>
          <w:szCs w:val="32"/>
        </w:rPr>
        <w:t>公开</w:t>
      </w:r>
      <w:r>
        <w:rPr>
          <w:rFonts w:hint="eastAsia" w:ascii="Times New Roman" w:hAnsi="Times New Roman" w:eastAsia="仿宋_GB2312" w:cs="Times New Roman"/>
          <w:sz w:val="32"/>
          <w:szCs w:val="32"/>
        </w:rPr>
        <w:t>公安工作</w:t>
      </w:r>
      <w:r>
        <w:rPr>
          <w:rFonts w:ascii="Times New Roman" w:hAnsi="Times New Roman" w:eastAsia="仿宋_GB2312" w:cs="Times New Roman"/>
          <w:sz w:val="32"/>
          <w:szCs w:val="32"/>
        </w:rPr>
        <w:t>相关信息。20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昌平</w:t>
      </w:r>
      <w:r>
        <w:rPr>
          <w:rFonts w:ascii="Times New Roman" w:hAnsi="Times New Roman" w:eastAsia="仿宋_GB2312" w:cs="Times New Roman"/>
          <w:sz w:val="32"/>
          <w:szCs w:val="32"/>
        </w:rPr>
        <w:t>分局通过“平安</w:t>
      </w:r>
      <w:r>
        <w:rPr>
          <w:rFonts w:hint="eastAsia" w:ascii="Times New Roman" w:hAnsi="Times New Roman" w:eastAsia="仿宋_GB2312" w:cs="Times New Roman"/>
          <w:sz w:val="32"/>
          <w:szCs w:val="32"/>
        </w:rPr>
        <w:t>昌平</w:t>
      </w:r>
      <w:r>
        <w:rPr>
          <w:rFonts w:ascii="Times New Roman" w:hAnsi="Times New Roman" w:eastAsia="仿宋_GB2312" w:cs="Times New Roman"/>
          <w:sz w:val="32"/>
          <w:szCs w:val="32"/>
        </w:rPr>
        <w:t>”微博发布信息</w:t>
      </w:r>
      <w:r>
        <w:rPr>
          <w:rFonts w:hint="eastAsia" w:ascii="Times New Roman" w:hAnsi="Times New Roman" w:eastAsia="仿宋_GB2312" w:cs="Times New Roman"/>
          <w:sz w:val="32"/>
          <w:szCs w:val="32"/>
        </w:rPr>
        <w:t>1300余</w:t>
      </w:r>
      <w:r>
        <w:rPr>
          <w:rFonts w:ascii="Times New Roman" w:hAnsi="Times New Roman" w:eastAsia="仿宋_GB2312" w:cs="Times New Roman"/>
          <w:sz w:val="32"/>
          <w:szCs w:val="32"/>
        </w:rPr>
        <w:t>条，通过“</w:t>
      </w:r>
      <w:r>
        <w:rPr>
          <w:rFonts w:hint="eastAsia" w:ascii="Times New Roman" w:hAnsi="Times New Roman" w:eastAsia="仿宋_GB2312" w:cs="Times New Roman"/>
          <w:sz w:val="32"/>
          <w:szCs w:val="32"/>
        </w:rPr>
        <w:t>平安昌平</w:t>
      </w:r>
      <w:r>
        <w:rPr>
          <w:rFonts w:ascii="Times New Roman" w:hAnsi="Times New Roman" w:eastAsia="仿宋_GB2312" w:cs="Times New Roman"/>
          <w:sz w:val="32"/>
          <w:szCs w:val="32"/>
        </w:rPr>
        <w:t>”微信公众号发布信息</w:t>
      </w:r>
      <w:r>
        <w:rPr>
          <w:rFonts w:hint="eastAsia" w:ascii="Times New Roman" w:hAnsi="Times New Roman" w:eastAsia="仿宋_GB2312" w:cs="Times New Roman"/>
          <w:sz w:val="32"/>
          <w:szCs w:val="32"/>
        </w:rPr>
        <w:t>300余</w:t>
      </w:r>
      <w:r>
        <w:rPr>
          <w:rFonts w:ascii="Times New Roman" w:hAnsi="Times New Roman" w:eastAsia="仿宋_GB2312" w:cs="Times New Roman"/>
          <w:sz w:val="32"/>
          <w:szCs w:val="32"/>
        </w:rPr>
        <w:t>条</w:t>
      </w:r>
      <w:r>
        <w:rPr>
          <w:rFonts w:hint="eastAsia" w:ascii="Times New Roman" w:hAnsi="Times New Roman" w:eastAsia="仿宋_GB2312" w:cs="Times New Roman"/>
          <w:sz w:val="32"/>
          <w:szCs w:val="32"/>
        </w:rPr>
        <w:t>，通过“平安昌平”今日头条号发布信息1100余条，通过“平安昌平”抖音号发布信息100余条</w:t>
      </w:r>
      <w:r>
        <w:rPr>
          <w:rFonts w:ascii="Times New Roman" w:hAnsi="Times New Roman" w:eastAsia="仿宋_GB2312" w:cs="Times New Roman"/>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依申请公开情况</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昌平</w:t>
      </w:r>
      <w:r>
        <w:rPr>
          <w:rFonts w:ascii="Times New Roman" w:hAnsi="Times New Roman" w:eastAsia="仿宋_GB2312" w:cs="Times New Roman"/>
          <w:sz w:val="32"/>
          <w:szCs w:val="32"/>
        </w:rPr>
        <w:t>分局共办理</w:t>
      </w:r>
      <w:r>
        <w:rPr>
          <w:rFonts w:hint="eastAsia" w:ascii="Times New Roman" w:hAnsi="Times New Roman" w:eastAsia="仿宋_GB2312" w:cs="Times New Roman"/>
          <w:sz w:val="32"/>
          <w:szCs w:val="32"/>
        </w:rPr>
        <w:t>依申请</w:t>
      </w:r>
      <w:r>
        <w:rPr>
          <w:rFonts w:ascii="Times New Roman" w:hAnsi="Times New Roman" w:eastAsia="仿宋_GB2312" w:cs="Times New Roman"/>
          <w:sz w:val="32"/>
          <w:szCs w:val="32"/>
        </w:rPr>
        <w:t>政府信息公开</w:t>
      </w:r>
      <w:r>
        <w:rPr>
          <w:rFonts w:hint="eastAsia" w:ascii="Times New Roman" w:hAnsi="Times New Roman" w:eastAsia="仿宋_GB2312" w:cs="Times New Roman"/>
          <w:sz w:val="32"/>
          <w:szCs w:val="32"/>
        </w:rPr>
        <w:t>18</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14件为书面</w:t>
      </w:r>
      <w:r>
        <w:rPr>
          <w:rFonts w:ascii="Times New Roman" w:hAnsi="Times New Roman" w:eastAsia="仿宋_GB2312" w:cs="Times New Roman"/>
          <w:sz w:val="32"/>
          <w:szCs w:val="32"/>
        </w:rPr>
        <w:t>信函形式申请</w:t>
      </w:r>
      <w:r>
        <w:rPr>
          <w:rFonts w:hint="eastAsia" w:ascii="Times New Roman" w:hAnsi="Times New Roman" w:eastAsia="仿宋_GB2312" w:cs="Times New Roman"/>
          <w:sz w:val="32"/>
          <w:szCs w:val="32"/>
        </w:rPr>
        <w:t>，4件为当面递交申请。17</w:t>
      </w:r>
      <w:r>
        <w:rPr>
          <w:rFonts w:ascii="Times New Roman" w:hAnsi="Times New Roman" w:eastAsia="仿宋_GB2312" w:cs="Times New Roman"/>
          <w:sz w:val="32"/>
          <w:szCs w:val="32"/>
        </w:rPr>
        <w:t>件已按期答复，</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件正在办理中。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予以公开1件，</w:t>
      </w:r>
      <w:r>
        <w:rPr>
          <w:rFonts w:ascii="Times New Roman" w:hAnsi="Times New Roman" w:eastAsia="仿宋_GB2312" w:cs="Times New Roman"/>
          <w:sz w:val="32"/>
          <w:szCs w:val="32"/>
        </w:rPr>
        <w:t>不予公开</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非</w:t>
      </w:r>
      <w:r>
        <w:rPr>
          <w:rFonts w:hint="eastAsia" w:ascii="Times New Roman" w:hAnsi="Times New Roman" w:eastAsia="仿宋_GB2312" w:cs="Times New Roman"/>
          <w:sz w:val="32"/>
          <w:szCs w:val="32"/>
        </w:rPr>
        <w:t>本机关</w:t>
      </w:r>
      <w:r>
        <w:rPr>
          <w:rFonts w:ascii="Times New Roman" w:hAnsi="Times New Roman" w:eastAsia="仿宋_GB2312" w:cs="Times New Roman"/>
          <w:sz w:val="32"/>
          <w:szCs w:val="32"/>
        </w:rPr>
        <w:t>政府信息</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，各</w:t>
      </w:r>
      <w:r>
        <w:rPr>
          <w:rFonts w:ascii="Times New Roman" w:hAnsi="Times New Roman" w:eastAsia="仿宋_GB2312" w:cs="Times New Roman"/>
          <w:sz w:val="32"/>
          <w:szCs w:val="32"/>
        </w:rPr>
        <w:t>占</w:t>
      </w:r>
      <w:r>
        <w:rPr>
          <w:rFonts w:hint="eastAsia" w:ascii="Times New Roman" w:hAnsi="Times New Roman" w:eastAsia="仿宋_GB2312" w:cs="Times New Roman"/>
          <w:sz w:val="32"/>
          <w:szCs w:val="32"/>
        </w:rPr>
        <w:t>5.6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补正2件，占11.1%；转结下年度继续办理1件，占5.6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其他</w:t>
      </w:r>
      <w:r>
        <w:rPr>
          <w:rFonts w:hint="eastAsia" w:ascii="Times New Roman" w:hAnsi="Times New Roman" w:eastAsia="仿宋_GB2312" w:cs="Times New Roman"/>
          <w:sz w:val="32"/>
          <w:szCs w:val="32"/>
        </w:rPr>
        <w:t>进行综合性答复</w:t>
      </w:r>
      <w:r>
        <w:rPr>
          <w:rFonts w:ascii="Times New Roman" w:hAnsi="Times New Roman" w:eastAsia="仿宋_GB2312" w:cs="Times New Roman"/>
          <w:sz w:val="32"/>
          <w:szCs w:val="32"/>
        </w:rPr>
        <w:t>处理</w:t>
      </w:r>
      <w:r>
        <w:rPr>
          <w:rFonts w:hint="eastAsia" w:ascii="Times New Roman" w:hAnsi="Times New Roman" w:eastAsia="仿宋_GB2312" w:cs="Times New Roman"/>
          <w:sz w:val="32"/>
          <w:szCs w:val="32"/>
        </w:rPr>
        <w:t>的11</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占</w:t>
      </w:r>
      <w:r>
        <w:rPr>
          <w:rFonts w:hint="eastAsia" w:ascii="Times New Roman" w:hAnsi="Times New Roman" w:eastAsia="仿宋_GB2312" w:cs="Times New Roman"/>
          <w:sz w:val="32"/>
          <w:szCs w:val="32"/>
        </w:rPr>
        <w:t>61.1</w:t>
      </w:r>
      <w:r>
        <w:rPr>
          <w:rFonts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行政复议、行政诉讼情况</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2020</w:t>
      </w:r>
      <w:r>
        <w:rPr>
          <w:rFonts w:ascii="Times New Roman" w:hAnsi="Times New Roman" w:eastAsia="仿宋_GB2312" w:cs="Times New Roman"/>
          <w:sz w:val="32"/>
          <w:szCs w:val="32"/>
        </w:rPr>
        <w:t>年，申请人提出政府信息公开行政复议</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件，结果维持</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申请人提出政府信息公开行政诉讼</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件，其中未经复议直接起诉的</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件</w:t>
      </w:r>
      <w:r>
        <w:rPr>
          <w:rFonts w:hint="eastAsia" w:ascii="Times New Roman" w:hAnsi="Times New Roman" w:eastAsia="仿宋_GB2312" w:cs="Times New Roman"/>
          <w:sz w:val="32"/>
          <w:szCs w:val="32"/>
        </w:rPr>
        <w:t>，结果维持2件。</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ascii="Times New Roman" w:hAnsi="Times New Roman" w:eastAsia="黑体" w:cs="Times New Roman"/>
          <w:sz w:val="32"/>
          <w:szCs w:val="32"/>
        </w:rPr>
      </w:pPr>
      <w:r>
        <w:rPr>
          <w:rFonts w:ascii="Times New Roman" w:hAnsi="Times New Roman" w:eastAsia="黑体" w:cs="Times New Roman"/>
          <w:sz w:val="32"/>
          <w:szCs w:val="32"/>
        </w:rPr>
        <w:t>二、主动公开政府信息情况</w:t>
      </w:r>
    </w:p>
    <w:tbl>
      <w:tblPr>
        <w:tblStyle w:val="7"/>
        <w:tblW w:w="8991" w:type="dxa"/>
        <w:tblInd w:w="91" w:type="dxa"/>
        <w:tblLayout w:type="fixed"/>
        <w:tblCellMar>
          <w:top w:w="0" w:type="dxa"/>
          <w:left w:w="108" w:type="dxa"/>
          <w:bottom w:w="0" w:type="dxa"/>
          <w:right w:w="108" w:type="dxa"/>
        </w:tblCellMar>
      </w:tblPr>
      <w:tblGrid>
        <w:gridCol w:w="1092"/>
        <w:gridCol w:w="1099"/>
        <w:gridCol w:w="335"/>
        <w:gridCol w:w="1750"/>
        <w:gridCol w:w="1970"/>
        <w:gridCol w:w="2745"/>
      </w:tblGrid>
      <w:tr>
        <w:tblPrEx>
          <w:tblLayout w:type="fixed"/>
          <w:tblCellMar>
            <w:top w:w="0" w:type="dxa"/>
            <w:left w:w="108" w:type="dxa"/>
            <w:bottom w:w="0" w:type="dxa"/>
            <w:right w:w="108" w:type="dxa"/>
          </w:tblCellMar>
        </w:tblPrEx>
        <w:trPr>
          <w:trHeight w:val="0" w:hRule="atLeast"/>
        </w:trPr>
        <w:tc>
          <w:tcPr>
            <w:tcW w:w="8991" w:type="dxa"/>
            <w:gridSpan w:val="6"/>
            <w:tcBorders>
              <w:top w:val="single" w:color="auto" w:sz="4" w:space="0"/>
              <w:left w:val="single" w:color="auto" w:sz="4" w:space="0"/>
              <w:bottom w:val="single" w:color="auto" w:sz="4" w:space="0"/>
              <w:right w:val="single" w:color="auto" w:sz="4" w:space="0"/>
            </w:tcBorders>
            <w:shd w:val="clear" w:color="000000" w:fill="C6D9F1"/>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第二十条第（一）项</w:t>
            </w:r>
          </w:p>
        </w:tc>
      </w:tr>
      <w:tr>
        <w:tblPrEx>
          <w:tblLayout w:type="fixed"/>
          <w:tblCellMar>
            <w:top w:w="0" w:type="dxa"/>
            <w:left w:w="108" w:type="dxa"/>
            <w:bottom w:w="0" w:type="dxa"/>
            <w:right w:w="108" w:type="dxa"/>
          </w:tblCellMar>
        </w:tblPrEx>
        <w:trPr>
          <w:trHeight w:val="0" w:hRule="atLeast"/>
        </w:trPr>
        <w:tc>
          <w:tcPr>
            <w:tcW w:w="252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本年新制作数量</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本年新公开数量</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对外公开总数量</w:t>
            </w:r>
          </w:p>
        </w:tc>
      </w:tr>
      <w:tr>
        <w:tblPrEx>
          <w:tblLayout w:type="fixed"/>
          <w:tblCellMar>
            <w:top w:w="0" w:type="dxa"/>
            <w:left w:w="108" w:type="dxa"/>
            <w:bottom w:w="0" w:type="dxa"/>
            <w:right w:w="108" w:type="dxa"/>
          </w:tblCellMar>
        </w:tblPrEx>
        <w:trPr>
          <w:trHeight w:val="0" w:hRule="atLeast"/>
        </w:trPr>
        <w:tc>
          <w:tcPr>
            <w:tcW w:w="252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规章</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r>
      <w:tr>
        <w:tblPrEx>
          <w:tblLayout w:type="fixed"/>
          <w:tblCellMar>
            <w:top w:w="0" w:type="dxa"/>
            <w:left w:w="108" w:type="dxa"/>
            <w:bottom w:w="0" w:type="dxa"/>
            <w:right w:w="108" w:type="dxa"/>
          </w:tblCellMar>
        </w:tblPrEx>
        <w:trPr>
          <w:trHeight w:val="0" w:hRule="atLeast"/>
        </w:trPr>
        <w:tc>
          <w:tcPr>
            <w:tcW w:w="252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规范性文件</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r>
      <w:tr>
        <w:tblPrEx>
          <w:tblLayout w:type="fixed"/>
          <w:tblCellMar>
            <w:top w:w="0" w:type="dxa"/>
            <w:left w:w="108" w:type="dxa"/>
            <w:bottom w:w="0" w:type="dxa"/>
            <w:right w:w="108" w:type="dxa"/>
          </w:tblCellMar>
        </w:tblPrEx>
        <w:trPr>
          <w:trHeight w:val="0" w:hRule="atLeast"/>
        </w:trPr>
        <w:tc>
          <w:tcPr>
            <w:tcW w:w="8991" w:type="dxa"/>
            <w:gridSpan w:val="6"/>
            <w:tcBorders>
              <w:top w:val="single" w:color="auto" w:sz="4" w:space="0"/>
              <w:left w:val="single" w:color="auto" w:sz="4" w:space="0"/>
              <w:bottom w:val="single" w:color="auto" w:sz="4" w:space="0"/>
              <w:right w:val="single" w:color="auto" w:sz="4" w:space="0"/>
            </w:tcBorders>
            <w:shd w:val="clear" w:color="000000" w:fill="C6D9F1"/>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第二十条第（五）项</w:t>
            </w:r>
          </w:p>
        </w:tc>
      </w:tr>
      <w:tr>
        <w:tblPrEx>
          <w:tblLayout w:type="fixed"/>
          <w:tblCellMar>
            <w:top w:w="0" w:type="dxa"/>
            <w:left w:w="108" w:type="dxa"/>
            <w:bottom w:w="0" w:type="dxa"/>
            <w:right w:w="108" w:type="dxa"/>
          </w:tblCellMar>
        </w:tblPrEx>
        <w:trPr>
          <w:trHeight w:val="0" w:hRule="atLeast"/>
        </w:trPr>
        <w:tc>
          <w:tcPr>
            <w:tcW w:w="252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上一年项目数量</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本年增/减</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处理决定数量</w:t>
            </w:r>
          </w:p>
        </w:tc>
      </w:tr>
      <w:tr>
        <w:tblPrEx>
          <w:tblLayout w:type="fixed"/>
          <w:tblCellMar>
            <w:top w:w="0" w:type="dxa"/>
            <w:left w:w="108" w:type="dxa"/>
            <w:bottom w:w="0" w:type="dxa"/>
            <w:right w:w="108" w:type="dxa"/>
          </w:tblCellMar>
        </w:tblPrEx>
        <w:trPr>
          <w:trHeight w:val="0" w:hRule="atLeast"/>
        </w:trPr>
        <w:tc>
          <w:tcPr>
            <w:tcW w:w="252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行政许可</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19</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117800</w:t>
            </w:r>
          </w:p>
        </w:tc>
      </w:tr>
      <w:tr>
        <w:tblPrEx>
          <w:tblLayout w:type="fixed"/>
          <w:tblCellMar>
            <w:top w:w="0" w:type="dxa"/>
            <w:left w:w="108" w:type="dxa"/>
            <w:bottom w:w="0" w:type="dxa"/>
            <w:right w:w="108" w:type="dxa"/>
          </w:tblCellMar>
        </w:tblPrEx>
        <w:trPr>
          <w:trHeight w:val="0" w:hRule="atLeast"/>
        </w:trPr>
        <w:tc>
          <w:tcPr>
            <w:tcW w:w="1092"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其他对外管理服务事项</w:t>
            </w:r>
          </w:p>
        </w:tc>
        <w:tc>
          <w:tcPr>
            <w:tcW w:w="1434"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行政检查</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48</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-18</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2024</w:t>
            </w:r>
          </w:p>
        </w:tc>
      </w:tr>
      <w:tr>
        <w:tblPrEx>
          <w:tblLayout w:type="fixed"/>
          <w:tblCellMar>
            <w:top w:w="0" w:type="dxa"/>
            <w:left w:w="108" w:type="dxa"/>
            <w:bottom w:w="0" w:type="dxa"/>
            <w:right w:w="108" w:type="dxa"/>
          </w:tblCellMar>
        </w:tblPrEx>
        <w:trPr>
          <w:trHeight w:val="0" w:hRule="atLeast"/>
        </w:trPr>
        <w:tc>
          <w:tcPr>
            <w:tcW w:w="109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宋体" w:hAnsi="宋体" w:eastAsia="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行政确认</w:t>
            </w:r>
          </w:p>
        </w:tc>
        <w:tc>
          <w:tcPr>
            <w:tcW w:w="17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28</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84949</w:t>
            </w:r>
          </w:p>
        </w:tc>
      </w:tr>
      <w:tr>
        <w:tblPrEx>
          <w:tblLayout w:type="fixed"/>
          <w:tblCellMar>
            <w:top w:w="0" w:type="dxa"/>
            <w:left w:w="108" w:type="dxa"/>
            <w:bottom w:w="0" w:type="dxa"/>
            <w:right w:w="108" w:type="dxa"/>
          </w:tblCellMar>
        </w:tblPrEx>
        <w:trPr>
          <w:trHeight w:val="0" w:hRule="atLeast"/>
        </w:trPr>
        <w:tc>
          <w:tcPr>
            <w:tcW w:w="8991" w:type="dxa"/>
            <w:gridSpan w:val="6"/>
            <w:tcBorders>
              <w:top w:val="single" w:color="auto" w:sz="4" w:space="0"/>
              <w:left w:val="single" w:color="auto" w:sz="4" w:space="0"/>
              <w:bottom w:val="single" w:color="auto" w:sz="4" w:space="0"/>
              <w:right w:val="single" w:color="auto" w:sz="4" w:space="0"/>
            </w:tcBorders>
            <w:shd w:val="clear" w:color="000000" w:fill="C6D9F1"/>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第二十条第（六）项</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208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上一年项目数量</w:t>
            </w:r>
          </w:p>
        </w:tc>
        <w:tc>
          <w:tcPr>
            <w:tcW w:w="19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本年增/减</w:t>
            </w:r>
          </w:p>
        </w:tc>
        <w:tc>
          <w:tcPr>
            <w:tcW w:w="27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处理决定数量</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行政处罚</w:t>
            </w:r>
          </w:p>
        </w:tc>
        <w:tc>
          <w:tcPr>
            <w:tcW w:w="20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650</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27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4673</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行政强制</w:t>
            </w:r>
          </w:p>
        </w:tc>
        <w:tc>
          <w:tcPr>
            <w:tcW w:w="2085"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20</w:t>
            </w:r>
          </w:p>
        </w:tc>
        <w:tc>
          <w:tcPr>
            <w:tcW w:w="19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274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5664</w:t>
            </w:r>
          </w:p>
        </w:tc>
      </w:tr>
      <w:tr>
        <w:tblPrEx>
          <w:tblLayout w:type="fixed"/>
          <w:tblCellMar>
            <w:top w:w="0" w:type="dxa"/>
            <w:left w:w="108" w:type="dxa"/>
            <w:bottom w:w="0" w:type="dxa"/>
            <w:right w:w="108" w:type="dxa"/>
          </w:tblCellMar>
        </w:tblPrEx>
        <w:trPr>
          <w:trHeight w:val="0" w:hRule="atLeast"/>
        </w:trPr>
        <w:tc>
          <w:tcPr>
            <w:tcW w:w="8991" w:type="dxa"/>
            <w:gridSpan w:val="6"/>
            <w:tcBorders>
              <w:top w:val="single" w:color="auto" w:sz="4" w:space="0"/>
              <w:left w:val="single" w:color="auto" w:sz="4" w:space="0"/>
              <w:bottom w:val="single" w:color="auto" w:sz="4" w:space="0"/>
              <w:right w:val="single" w:color="auto" w:sz="4" w:space="0"/>
            </w:tcBorders>
            <w:shd w:val="clear" w:color="000000" w:fill="C6D9F1"/>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第二十条第（八）项</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208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上一年项目数量</w:t>
            </w:r>
          </w:p>
        </w:tc>
        <w:tc>
          <w:tcPr>
            <w:tcW w:w="471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本年增/减</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行政事业性收费</w:t>
            </w:r>
          </w:p>
        </w:tc>
        <w:tc>
          <w:tcPr>
            <w:tcW w:w="208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471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r>
      <w:tr>
        <w:tblPrEx>
          <w:tblLayout w:type="fixed"/>
          <w:tblCellMar>
            <w:top w:w="0" w:type="dxa"/>
            <w:left w:w="108" w:type="dxa"/>
            <w:bottom w:w="0" w:type="dxa"/>
            <w:right w:w="108" w:type="dxa"/>
          </w:tblCellMar>
        </w:tblPrEx>
        <w:trPr>
          <w:trHeight w:val="0" w:hRule="atLeast"/>
        </w:trPr>
        <w:tc>
          <w:tcPr>
            <w:tcW w:w="8991" w:type="dxa"/>
            <w:gridSpan w:val="6"/>
            <w:tcBorders>
              <w:top w:val="single" w:color="auto" w:sz="4" w:space="0"/>
              <w:left w:val="single" w:color="auto" w:sz="4" w:space="0"/>
              <w:bottom w:val="single" w:color="auto" w:sz="4" w:space="0"/>
              <w:right w:val="single" w:color="auto" w:sz="4" w:space="0"/>
            </w:tcBorders>
            <w:shd w:val="clear" w:color="000000" w:fill="C6D9F1"/>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第二十条第（九）项</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208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采购项目数量</w:t>
            </w:r>
          </w:p>
        </w:tc>
        <w:tc>
          <w:tcPr>
            <w:tcW w:w="471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采购总金额（万元，保留四位小数）</w:t>
            </w:r>
          </w:p>
        </w:tc>
      </w:tr>
      <w:tr>
        <w:tblPrEx>
          <w:tblLayout w:type="fixed"/>
          <w:tblCellMar>
            <w:top w:w="0" w:type="dxa"/>
            <w:left w:w="108" w:type="dxa"/>
            <w:bottom w:w="0" w:type="dxa"/>
            <w:right w:w="108" w:type="dxa"/>
          </w:tblCellMar>
        </w:tblPrEx>
        <w:trPr>
          <w:trHeight w:val="0" w:hRule="atLeast"/>
        </w:trPr>
        <w:tc>
          <w:tcPr>
            <w:tcW w:w="219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政府集中采购</w:t>
            </w:r>
          </w:p>
        </w:tc>
        <w:tc>
          <w:tcPr>
            <w:tcW w:w="208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23</w:t>
            </w:r>
          </w:p>
        </w:tc>
        <w:tc>
          <w:tcPr>
            <w:tcW w:w="471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3228.6202</w:t>
            </w:r>
          </w:p>
        </w:tc>
      </w:tr>
    </w:tbl>
    <w:p>
      <w:pPr>
        <w:keepNext w:val="0"/>
        <w:keepLines w:val="0"/>
        <w:pageBreakBefore w:val="0"/>
        <w:kinsoku/>
        <w:wordWrap/>
        <w:overflowPunct/>
        <w:topLinePunct w:val="0"/>
        <w:autoSpaceDE/>
        <w:autoSpaceDN/>
        <w:bidi w:val="0"/>
        <w:adjustRightInd/>
        <w:snapToGrid/>
        <w:spacing w:beforeLines="100" w:line="560" w:lineRule="exact"/>
        <w:ind w:right="0" w:rightChars="0" w:firstLine="640" w:firstLineChars="200"/>
        <w:textAlignment w:val="auto"/>
        <w:outlineLvl w:val="9"/>
        <w:rPr>
          <w:rFonts w:ascii="Times New Roman" w:hAnsi="Times New Roman" w:eastAsia="黑体" w:cs="Times New Roman"/>
          <w:sz w:val="32"/>
          <w:szCs w:val="32"/>
        </w:rPr>
      </w:pPr>
      <w:r>
        <w:rPr>
          <w:rFonts w:ascii="Times New Roman" w:hAnsi="Times New Roman" w:eastAsia="黑体" w:cs="Times New Roman"/>
          <w:sz w:val="32"/>
          <w:szCs w:val="32"/>
        </w:rPr>
        <w:t>三、收到和处理政府信息公开申请情况</w:t>
      </w:r>
    </w:p>
    <w:tbl>
      <w:tblPr>
        <w:tblStyle w:val="7"/>
        <w:tblW w:w="9071" w:type="dxa"/>
        <w:tblInd w:w="0" w:type="dxa"/>
        <w:tblLayout w:type="fixed"/>
        <w:tblCellMar>
          <w:top w:w="0" w:type="dxa"/>
          <w:left w:w="0" w:type="dxa"/>
          <w:bottom w:w="0" w:type="dxa"/>
          <w:right w:w="0" w:type="dxa"/>
        </w:tblCellMar>
      </w:tblPr>
      <w:tblGrid>
        <w:gridCol w:w="617"/>
        <w:gridCol w:w="854"/>
        <w:gridCol w:w="2273"/>
        <w:gridCol w:w="626"/>
        <w:gridCol w:w="755"/>
        <w:gridCol w:w="755"/>
        <w:gridCol w:w="813"/>
        <w:gridCol w:w="973"/>
        <w:gridCol w:w="711"/>
        <w:gridCol w:w="694"/>
      </w:tblGrid>
      <w:tr>
        <w:tblPrEx>
          <w:tblLayout w:type="fixed"/>
          <w:tblCellMar>
            <w:top w:w="0" w:type="dxa"/>
            <w:left w:w="0" w:type="dxa"/>
            <w:bottom w:w="0" w:type="dxa"/>
            <w:right w:w="0" w:type="dxa"/>
          </w:tblCellMar>
        </w:tblPrEx>
        <w:tc>
          <w:tcPr>
            <w:tcW w:w="3744" w:type="dxa"/>
            <w:gridSpan w:val="3"/>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（本列数据的勾稽关系为：第一项加第二项之和，等于第三项加第四项之和）</w:t>
            </w:r>
          </w:p>
        </w:tc>
        <w:tc>
          <w:tcPr>
            <w:tcW w:w="5327" w:type="dxa"/>
            <w:gridSpan w:val="7"/>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申请人情况</w:t>
            </w:r>
          </w:p>
        </w:tc>
      </w:tr>
      <w:tr>
        <w:tblPrEx>
          <w:tblLayout w:type="fixed"/>
          <w:tblCellMar>
            <w:top w:w="0" w:type="dxa"/>
            <w:left w:w="0" w:type="dxa"/>
            <w:bottom w:w="0" w:type="dxa"/>
            <w:right w:w="0" w:type="dxa"/>
          </w:tblCellMar>
        </w:tblPrEx>
        <w:tc>
          <w:tcPr>
            <w:tcW w:w="3744" w:type="dxa"/>
            <w:gridSpan w:val="3"/>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626"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自然人</w:t>
            </w:r>
          </w:p>
        </w:tc>
        <w:tc>
          <w:tcPr>
            <w:tcW w:w="400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法人或其他组织</w:t>
            </w:r>
          </w:p>
        </w:tc>
        <w:tc>
          <w:tcPr>
            <w:tcW w:w="69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总计</w:t>
            </w:r>
          </w:p>
        </w:tc>
      </w:tr>
      <w:tr>
        <w:tblPrEx>
          <w:tblLayout w:type="fixed"/>
          <w:tblCellMar>
            <w:top w:w="0" w:type="dxa"/>
            <w:left w:w="0" w:type="dxa"/>
            <w:bottom w:w="0" w:type="dxa"/>
            <w:right w:w="0" w:type="dxa"/>
          </w:tblCellMar>
        </w:tblPrEx>
        <w:tc>
          <w:tcPr>
            <w:tcW w:w="3744" w:type="dxa"/>
            <w:gridSpan w:val="3"/>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626" w:type="dxa"/>
            <w:vMerge w:val="continue"/>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商业企业</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科研机构</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社会公益组织</w:t>
            </w:r>
          </w:p>
        </w:tc>
        <w:tc>
          <w:tcPr>
            <w:tcW w:w="97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法律服务机构</w:t>
            </w:r>
          </w:p>
        </w:tc>
        <w:tc>
          <w:tcPr>
            <w:tcW w:w="7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其他</w:t>
            </w:r>
          </w:p>
        </w:tc>
        <w:tc>
          <w:tcPr>
            <w:tcW w:w="69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r>
      <w:tr>
        <w:tblPrEx>
          <w:tblLayout w:type="fixed"/>
          <w:tblCellMar>
            <w:top w:w="0" w:type="dxa"/>
            <w:left w:w="0" w:type="dxa"/>
            <w:bottom w:w="0" w:type="dxa"/>
            <w:right w:w="0" w:type="dxa"/>
          </w:tblCellMar>
        </w:tblPrEx>
        <w:tc>
          <w:tcPr>
            <w:tcW w:w="3744"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一、本年新收政府信息公开申请数量</w:t>
            </w:r>
          </w:p>
        </w:tc>
        <w:tc>
          <w:tcPr>
            <w:tcW w:w="6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18</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18</w:t>
            </w:r>
          </w:p>
        </w:tc>
      </w:tr>
      <w:tr>
        <w:tblPrEx>
          <w:tblLayout w:type="fixed"/>
          <w:tblCellMar>
            <w:top w:w="0" w:type="dxa"/>
            <w:left w:w="0" w:type="dxa"/>
            <w:bottom w:w="0" w:type="dxa"/>
            <w:right w:w="0" w:type="dxa"/>
          </w:tblCellMar>
        </w:tblPrEx>
        <w:tc>
          <w:tcPr>
            <w:tcW w:w="3744"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二、上年结转政府信息公开申请数量</w:t>
            </w:r>
          </w:p>
        </w:tc>
        <w:tc>
          <w:tcPr>
            <w:tcW w:w="6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三、本年度办理结果</w:t>
            </w:r>
          </w:p>
        </w:tc>
        <w:tc>
          <w:tcPr>
            <w:tcW w:w="31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（一）予以公开</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tabs>
                <w:tab w:val="left" w:pos="226"/>
                <w:tab w:val="center" w:pos="358"/>
              </w:tabs>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31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（二）部分公开</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3</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3</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（三）不予公开</w:t>
            </w: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1.属于国家秘密</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2.其他法律行政法规禁止公开</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6</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6</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3.危及“三安全一稳定”</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4.保护第三方合法权益</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5.属于三类内部事务信息</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6.属于四类过程性信息</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7.属于行政执法案卷</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8.属于行政查询事项</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（四）无法提供</w:t>
            </w: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1.本机关不掌握相关政府信息</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3</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3</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2.没有现成信息需要另行制作</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3.补正后申请内容仍不明确</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2</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2</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（五）不予处理</w:t>
            </w: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1.信访举报投诉类申请</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2.重复申请</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3.要求提供公开出版物</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4.无正当理由大量反复申请</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2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5.要求行政机关确认或重新出具已获取信息</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31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（六）其他处理</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highlight w:val="none"/>
              </w:rPr>
            </w:pPr>
            <w:r>
              <w:rPr>
                <w:rFonts w:ascii="Times New Roman" w:hAnsi="Times New Roman" w:eastAsia="宋体" w:cs="Times New Roman"/>
                <w:kern w:val="0"/>
                <w:sz w:val="20"/>
                <w:szCs w:val="20"/>
                <w:highlight w:val="none"/>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r>
      <w:tr>
        <w:tblPrEx>
          <w:tblLayout w:type="fixed"/>
          <w:tblCellMar>
            <w:top w:w="0" w:type="dxa"/>
            <w:left w:w="0" w:type="dxa"/>
            <w:bottom w:w="0" w:type="dxa"/>
            <w:right w:w="0" w:type="dxa"/>
          </w:tblCellMar>
        </w:tblPrEx>
        <w:trPr>
          <w:trHeight w:val="0" w:hRule="atLeast"/>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p>
        </w:tc>
        <w:tc>
          <w:tcPr>
            <w:tcW w:w="31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楷体" w:cs="Times New Roman"/>
                <w:kern w:val="0"/>
                <w:sz w:val="20"/>
                <w:szCs w:val="20"/>
              </w:rPr>
              <w:t>（七）总计</w:t>
            </w:r>
          </w:p>
        </w:tc>
        <w:tc>
          <w:tcPr>
            <w:tcW w:w="6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17</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hint="eastAsia" w:ascii="Times New Roman" w:hAnsi="Times New Roman" w:eastAsia="宋体" w:cs="Times New Roman"/>
                <w:kern w:val="0"/>
                <w:sz w:val="20"/>
                <w:szCs w:val="20"/>
                <w:highlight w:val="none"/>
                <w:lang w:eastAsia="zh-CN"/>
              </w:rPr>
            </w:pPr>
            <w:r>
              <w:rPr>
                <w:rFonts w:hint="eastAsia" w:ascii="Times New Roman" w:hAnsi="Times New Roman" w:eastAsia="宋体" w:cs="Times New Roman"/>
                <w:kern w:val="0"/>
                <w:sz w:val="20"/>
                <w:szCs w:val="20"/>
                <w:highlight w:val="none"/>
                <w:lang w:val="en-US" w:eastAsia="zh-CN"/>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17</w:t>
            </w:r>
          </w:p>
        </w:tc>
      </w:tr>
      <w:tr>
        <w:tblPrEx>
          <w:tblLayout w:type="fixed"/>
          <w:tblCellMar>
            <w:top w:w="0" w:type="dxa"/>
            <w:left w:w="0" w:type="dxa"/>
            <w:bottom w:w="0" w:type="dxa"/>
            <w:right w:w="0" w:type="dxa"/>
          </w:tblCellMar>
        </w:tblPrEx>
        <w:tc>
          <w:tcPr>
            <w:tcW w:w="374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left"/>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四、结转下年度继续办理</w:t>
            </w:r>
          </w:p>
        </w:tc>
        <w:tc>
          <w:tcPr>
            <w:tcW w:w="62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5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highlight w:val="none"/>
              </w:rPr>
            </w:pPr>
            <w:r>
              <w:rPr>
                <w:rFonts w:ascii="Times New Roman" w:hAnsi="Times New Roman" w:eastAsia="宋体" w:cs="Times New Roman"/>
                <w:kern w:val="0"/>
                <w:sz w:val="20"/>
                <w:szCs w:val="20"/>
                <w:highlight w:val="none"/>
              </w:rPr>
              <w:t>0</w:t>
            </w:r>
          </w:p>
        </w:tc>
        <w:tc>
          <w:tcPr>
            <w:tcW w:w="75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97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7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9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r>
    </w:tbl>
    <w:p>
      <w:pPr>
        <w:keepNext w:val="0"/>
        <w:keepLines w:val="0"/>
        <w:pageBreakBefore w:val="0"/>
        <w:kinsoku/>
        <w:wordWrap/>
        <w:overflowPunct/>
        <w:topLinePunct w:val="0"/>
        <w:autoSpaceDE/>
        <w:autoSpaceDN/>
        <w:bidi w:val="0"/>
        <w:adjustRightInd/>
        <w:snapToGrid/>
        <w:spacing w:beforeLines="100" w:line="560" w:lineRule="exact"/>
        <w:ind w:left="0" w:leftChars="0" w:right="0" w:rightChars="0" w:firstLine="640" w:firstLineChars="200"/>
        <w:textAlignment w:val="auto"/>
        <w:outlineLvl w:val="9"/>
        <w:rPr>
          <w:rFonts w:ascii="Times New Roman" w:hAnsi="Times New Roman" w:eastAsia="黑体" w:cs="Times New Roman"/>
          <w:sz w:val="32"/>
          <w:szCs w:val="32"/>
        </w:rPr>
      </w:pPr>
      <w:r>
        <w:rPr>
          <w:rFonts w:ascii="Times New Roman" w:hAnsi="Times New Roman" w:eastAsia="黑体" w:cs="Times New Roman"/>
          <w:sz w:val="32"/>
          <w:szCs w:val="32"/>
        </w:rPr>
        <w:t>四、政府信息公开行政复议、行政诉讼情况</w:t>
      </w:r>
    </w:p>
    <w:tbl>
      <w:tblPr>
        <w:tblStyle w:val="7"/>
        <w:tblW w:w="9071" w:type="dxa"/>
        <w:tblInd w:w="0" w:type="dxa"/>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568"/>
        <w:gridCol w:w="642"/>
        <w:gridCol w:w="605"/>
        <w:gridCol w:w="606"/>
        <w:gridCol w:w="606"/>
      </w:tblGrid>
      <w:tr>
        <w:tblPrEx>
          <w:tblLayout w:type="fixed"/>
        </w:tblPrEx>
        <w:tc>
          <w:tcPr>
            <w:tcW w:w="3074"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行政复议</w:t>
            </w:r>
          </w:p>
        </w:tc>
        <w:tc>
          <w:tcPr>
            <w:tcW w:w="5997" w:type="dxa"/>
            <w:gridSpan w:val="10"/>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行政诉讼</w:t>
            </w:r>
          </w:p>
        </w:tc>
      </w:tr>
      <w:tr>
        <w:tblPrEx>
          <w:tblLayout w:type="fixed"/>
          <w:tblCellMar>
            <w:top w:w="0" w:type="dxa"/>
            <w:left w:w="0" w:type="dxa"/>
            <w:bottom w:w="0" w:type="dxa"/>
            <w:right w:w="0" w:type="dxa"/>
          </w:tblCellMar>
        </w:tblPrEx>
        <w:tc>
          <w:tcPr>
            <w:tcW w:w="60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结果维持</w:t>
            </w:r>
          </w:p>
        </w:tc>
        <w:tc>
          <w:tcPr>
            <w:tcW w:w="604"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结果纠正</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其他结果</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尚未审结</w:t>
            </w:r>
          </w:p>
        </w:tc>
        <w:tc>
          <w:tcPr>
            <w:tcW w:w="658"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总计</w:t>
            </w:r>
          </w:p>
        </w:tc>
        <w:tc>
          <w:tcPr>
            <w:tcW w:w="29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未经复议直接起诉</w:t>
            </w:r>
          </w:p>
        </w:tc>
        <w:tc>
          <w:tcPr>
            <w:tcW w:w="302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复议后起诉</w:t>
            </w:r>
          </w:p>
        </w:tc>
      </w:tr>
      <w:tr>
        <w:tblPrEx>
          <w:tblLayout w:type="fixed"/>
          <w:tblCellMar>
            <w:top w:w="0" w:type="dxa"/>
            <w:left w:w="0" w:type="dxa"/>
            <w:bottom w:w="0" w:type="dxa"/>
            <w:right w:w="0" w:type="dxa"/>
          </w:tblCellMar>
        </w:tblPrEx>
        <w:tc>
          <w:tcPr>
            <w:tcW w:w="604"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宋体" w:cs="Times New Roman"/>
                <w:kern w:val="0"/>
                <w:sz w:val="24"/>
                <w:szCs w:val="24"/>
              </w:rPr>
            </w:pPr>
          </w:p>
        </w:tc>
        <w:tc>
          <w:tcPr>
            <w:tcW w:w="604" w:type="dxa"/>
            <w:vMerge w:val="continue"/>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宋体" w:cs="Times New Roman"/>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宋体" w:cs="Times New Roman"/>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宋体" w:cs="Times New Roman"/>
                <w:kern w:val="0"/>
                <w:sz w:val="24"/>
                <w:szCs w:val="24"/>
              </w:rPr>
            </w:pPr>
          </w:p>
        </w:tc>
        <w:tc>
          <w:tcPr>
            <w:tcW w:w="658"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宋体" w:cs="Times New Roman"/>
                <w:kern w:val="0"/>
                <w:sz w:val="24"/>
                <w:szCs w:val="24"/>
              </w:rPr>
            </w:pP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结果维持</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其他结果</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尚未审结</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color w:val="000000"/>
                <w:kern w:val="0"/>
                <w:sz w:val="20"/>
                <w:szCs w:val="20"/>
              </w:rPr>
              <w:t>总计</w:t>
            </w:r>
          </w:p>
        </w:tc>
        <w:tc>
          <w:tcPr>
            <w:tcW w:w="5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结果维持</w:t>
            </w:r>
          </w:p>
        </w:tc>
        <w:tc>
          <w:tcPr>
            <w:tcW w:w="64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color w:val="000000"/>
                <w:kern w:val="0"/>
                <w:sz w:val="20"/>
                <w:szCs w:val="20"/>
              </w:rPr>
              <w:t>其他结果</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kern w:val="0"/>
                <w:sz w:val="20"/>
                <w:szCs w:val="20"/>
              </w:rPr>
              <w:t>尚未审结</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4"/>
                <w:szCs w:val="24"/>
              </w:rPr>
            </w:pPr>
            <w:r>
              <w:rPr>
                <w:rFonts w:ascii="Times New Roman" w:hAnsi="Times New Roman" w:eastAsia="宋体" w:cs="Times New Roman"/>
                <w:color w:val="000000"/>
                <w:kern w:val="0"/>
                <w:sz w:val="20"/>
                <w:szCs w:val="20"/>
              </w:rPr>
              <w:t>总计</w:t>
            </w:r>
          </w:p>
        </w:tc>
      </w:tr>
      <w:tr>
        <w:tblPrEx>
          <w:tblLayout w:type="fixed"/>
          <w:tblCellMar>
            <w:top w:w="0" w:type="dxa"/>
            <w:left w:w="0" w:type="dxa"/>
            <w:bottom w:w="0" w:type="dxa"/>
            <w:right w:w="0" w:type="dxa"/>
          </w:tblCellMar>
        </w:tblPrEx>
        <w:tc>
          <w:tcPr>
            <w:tcW w:w="60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5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ascii="Times New Roman" w:hAnsi="Times New Roman" w:eastAsia="宋体" w:cs="Times New Roman"/>
                <w:kern w:val="0"/>
                <w:sz w:val="20"/>
                <w:szCs w:val="20"/>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color w:val="000000"/>
                <w:kern w:val="0"/>
                <w:sz w:val="20"/>
                <w:szCs w:val="20"/>
              </w:rPr>
              <w:t>1</w:t>
            </w:r>
          </w:p>
        </w:tc>
        <w:tc>
          <w:tcPr>
            <w:tcW w:w="56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642"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color w:val="000000"/>
                <w:kern w:val="0"/>
                <w:sz w:val="20"/>
                <w:szCs w:val="20"/>
              </w:rPr>
              <w:t>0</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0</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r>
    </w:tbl>
    <w:p>
      <w:pPr>
        <w:keepNext w:val="0"/>
        <w:keepLines w:val="0"/>
        <w:pageBreakBefore w:val="0"/>
        <w:numPr>
          <w:ilvl w:val="0"/>
          <w:numId w:val="0"/>
        </w:numPr>
        <w:kinsoku/>
        <w:wordWrap/>
        <w:overflowPunct/>
        <w:topLinePunct w:val="0"/>
        <w:autoSpaceDE/>
        <w:autoSpaceDN/>
        <w:bidi w:val="0"/>
        <w:adjustRightInd/>
        <w:snapToGrid/>
        <w:spacing w:beforeLines="100" w:line="560" w:lineRule="exact"/>
        <w:ind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存在的主要问题及改进情况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30" w:firstLineChars="196"/>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（一）基础建设过于薄弱</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当前分局依申请政府信息公开长期依托分局信访进行各项工作，无专职人员和专门办公场所，分局对外官方网站一直未能建立开通，硬件建设亟需加强。下一步，昌平分局将积极推动政府信息公开硬件建设，争取设立政府信息公开工作专职人员，推动对外官方网站建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制定出台分局政府信息公开工作机制，全面分局</w:t>
      </w:r>
      <w:r>
        <w:rPr>
          <w:rFonts w:ascii="Times New Roman" w:hAnsi="Times New Roman" w:eastAsia="仿宋_GB2312" w:cs="Times New Roman"/>
          <w:sz w:val="32"/>
          <w:szCs w:val="32"/>
        </w:rPr>
        <w:t>提升政府信息公开工作水平</w:t>
      </w:r>
      <w:r>
        <w:rPr>
          <w:rFonts w:hint="eastAsia" w:ascii="Times New Roman" w:hAnsi="Times New Roman" w:eastAsia="仿宋_GB2312" w:cs="Times New Roman"/>
          <w:sz w:val="32"/>
          <w:szCs w:val="32"/>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思想认识有待提高</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部分工作人员没有充分认识到政府信息公开对依法行政工作的重要性，没有充分理解政府信息公开在人民群众生产、生活中以及经济活动中起到的服务作用，特别是基层所队，对政府信息公开工作还比较陌生，服务意识有待提高。下一步，分局将在制定出台政府信息公开工作机制的基础上，开展有针对性的业务培训，向广大民警普及政府信息公开业务知识，更好的回应社会关切，服务人民群众。</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公开方式有待拓展</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rPr>
        <w:t>与广大群众对公安工作信息的需求相比，我们的公开方式还有一定的差距，公开的形式和渠道还很有限，还有待进一步的拓展和丰富。下一步，分局将创新工作思路，改进工作方法，拓展公开渠道，丰富公开内容，</w:t>
      </w:r>
      <w:r>
        <w:rPr>
          <w:rFonts w:hint="eastAsia" w:ascii="仿宋_GB2312" w:hAnsi="仿宋_GB2312" w:eastAsia="仿宋_GB2312" w:cs="仿宋_GB2312"/>
          <w:sz w:val="32"/>
          <w:szCs w:val="32"/>
        </w:rPr>
        <w:t>对重大决策措施的解读更加精准细化，对公安领域的情况发布更加及时，把分局的政府信息公开工作水平提高到一个新的高度。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Times New Roman" w:hAnsi="Times New Roman" w:eastAsia="黑体" w:cs="Times New Roman"/>
          <w:sz w:val="32"/>
          <w:szCs w:val="32"/>
        </w:rPr>
      </w:pPr>
      <w:r>
        <w:rPr>
          <w:rFonts w:ascii="Times New Roman" w:hAnsi="Times New Roman" w:eastAsia="黑体" w:cs="Times New Roman"/>
          <w:sz w:val="32"/>
          <w:szCs w:val="32"/>
        </w:rPr>
        <w:t>六、其他需要报告的事项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北京市公安局门户网站（“北京市公安局”）网址为</w:t>
      </w:r>
      <w:r>
        <w:rPr>
          <w:rFonts w:hint="eastAsia" w:ascii="仿宋_GB2312" w:hAnsi="仿宋_GB2312" w:eastAsia="仿宋_GB2312" w:cs="仿宋_GB2312"/>
          <w:color w:val="auto"/>
          <w:sz w:val="32"/>
          <w:szCs w:val="32"/>
          <w:u w:val="none"/>
        </w:rPr>
        <w:fldChar w:fldCharType="begin"/>
      </w:r>
      <w:r>
        <w:rPr>
          <w:rFonts w:hint="eastAsia" w:ascii="仿宋_GB2312" w:hAnsi="仿宋_GB2312" w:eastAsia="仿宋_GB2312" w:cs="仿宋_GB2312"/>
          <w:color w:val="auto"/>
          <w:sz w:val="32"/>
          <w:szCs w:val="32"/>
          <w:u w:val="none"/>
        </w:rPr>
        <w:instrText xml:space="preserve"> HYPERLINK "http://www.gaj.beijing.gov.cn/" </w:instrText>
      </w:r>
      <w:r>
        <w:rPr>
          <w:rFonts w:hint="eastAsia" w:ascii="仿宋_GB2312" w:hAnsi="仿宋_GB2312" w:eastAsia="仿宋_GB2312" w:cs="仿宋_GB2312"/>
          <w:color w:val="auto"/>
          <w:sz w:val="32"/>
          <w:szCs w:val="32"/>
          <w:u w:val="none"/>
        </w:rPr>
        <w:fldChar w:fldCharType="separate"/>
      </w:r>
      <w:r>
        <w:rPr>
          <w:rStyle w:val="6"/>
          <w:rFonts w:hint="eastAsia" w:ascii="仿宋_GB2312" w:hAnsi="仿宋_GB2312" w:eastAsia="仿宋_GB2312" w:cs="仿宋_GB2312"/>
          <w:color w:val="auto"/>
          <w:sz w:val="32"/>
          <w:szCs w:val="32"/>
          <w:u w:val="none"/>
        </w:rPr>
        <w:t>http://gaj.beijing.gov.cn/</w:t>
      </w:r>
      <w:r>
        <w:rPr>
          <w:rStyle w:val="6"/>
          <w:rFonts w:hint="eastAsia" w:ascii="仿宋_GB2312" w:hAnsi="仿宋_GB2312" w:eastAsia="仿宋_GB2312" w:cs="仿宋_GB2312"/>
          <w:color w:val="auto"/>
          <w:sz w:val="32"/>
          <w:szCs w:val="32"/>
          <w:u w:val="none"/>
        </w:rPr>
        <w:fldChar w:fldCharType="end"/>
      </w:r>
      <w:r>
        <w:rPr>
          <w:rFonts w:hint="eastAsia" w:ascii="仿宋_GB2312" w:hAnsi="仿宋_GB2312" w:eastAsia="仿宋_GB2312" w:cs="仿宋_GB2312"/>
          <w:color w:val="auto"/>
          <w:sz w:val="32"/>
          <w:szCs w:val="32"/>
        </w:rPr>
        <w:t>，如需了解更多政府信息，请登录查询。</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仿宋">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FFED7D"/>
    <w:multiLevelType w:val="singleLevel"/>
    <w:tmpl w:val="5FFFED7D"/>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D5FBE"/>
    <w:rsid w:val="00020872"/>
    <w:rsid w:val="0002667E"/>
    <w:rsid w:val="000D75BE"/>
    <w:rsid w:val="00147D10"/>
    <w:rsid w:val="001E0E35"/>
    <w:rsid w:val="001E5C08"/>
    <w:rsid w:val="00280CD3"/>
    <w:rsid w:val="002C7FF8"/>
    <w:rsid w:val="00347F0F"/>
    <w:rsid w:val="00353C63"/>
    <w:rsid w:val="004D40DF"/>
    <w:rsid w:val="004D7E3A"/>
    <w:rsid w:val="00501FC8"/>
    <w:rsid w:val="005D5FBE"/>
    <w:rsid w:val="006566C4"/>
    <w:rsid w:val="006D7686"/>
    <w:rsid w:val="0071398B"/>
    <w:rsid w:val="00722938"/>
    <w:rsid w:val="007C036F"/>
    <w:rsid w:val="007E77D9"/>
    <w:rsid w:val="00851952"/>
    <w:rsid w:val="00855C2F"/>
    <w:rsid w:val="008627CB"/>
    <w:rsid w:val="00882C03"/>
    <w:rsid w:val="00972BA2"/>
    <w:rsid w:val="009C4F63"/>
    <w:rsid w:val="00A11203"/>
    <w:rsid w:val="00A37668"/>
    <w:rsid w:val="00B10F2F"/>
    <w:rsid w:val="00B31144"/>
    <w:rsid w:val="00BB0AB7"/>
    <w:rsid w:val="00BB1C33"/>
    <w:rsid w:val="00C030DD"/>
    <w:rsid w:val="00C32581"/>
    <w:rsid w:val="00C67951"/>
    <w:rsid w:val="00D37C41"/>
    <w:rsid w:val="00D8120B"/>
    <w:rsid w:val="00DD5510"/>
    <w:rsid w:val="00E0505A"/>
    <w:rsid w:val="00E30E72"/>
    <w:rsid w:val="00E3422D"/>
    <w:rsid w:val="00E347A5"/>
    <w:rsid w:val="00E70B7F"/>
    <w:rsid w:val="00EC5502"/>
    <w:rsid w:val="00EF08DE"/>
    <w:rsid w:val="00F57B53"/>
    <w:rsid w:val="00F7667A"/>
    <w:rsid w:val="00FB6F9F"/>
    <w:rsid w:val="00FF61C4"/>
    <w:rsid w:val="016924E3"/>
    <w:rsid w:val="017B5E1A"/>
    <w:rsid w:val="0396661C"/>
    <w:rsid w:val="04346A0D"/>
    <w:rsid w:val="04995F13"/>
    <w:rsid w:val="06506391"/>
    <w:rsid w:val="087F3B51"/>
    <w:rsid w:val="092B1A28"/>
    <w:rsid w:val="0B0A0CC1"/>
    <w:rsid w:val="0BE023C8"/>
    <w:rsid w:val="0C2267CF"/>
    <w:rsid w:val="0DCA2899"/>
    <w:rsid w:val="0FEA41ED"/>
    <w:rsid w:val="105D6C9E"/>
    <w:rsid w:val="111213EF"/>
    <w:rsid w:val="11A34E35"/>
    <w:rsid w:val="123D5A8B"/>
    <w:rsid w:val="130214D8"/>
    <w:rsid w:val="1338182C"/>
    <w:rsid w:val="15065839"/>
    <w:rsid w:val="15FD7580"/>
    <w:rsid w:val="16306FB9"/>
    <w:rsid w:val="16710EF4"/>
    <w:rsid w:val="171439D9"/>
    <w:rsid w:val="18FF39AF"/>
    <w:rsid w:val="1B5B6AF8"/>
    <w:rsid w:val="1B832D03"/>
    <w:rsid w:val="1CFF14DE"/>
    <w:rsid w:val="1DB40C38"/>
    <w:rsid w:val="20751892"/>
    <w:rsid w:val="219D1B62"/>
    <w:rsid w:val="22DB6900"/>
    <w:rsid w:val="2410403D"/>
    <w:rsid w:val="247C4ADA"/>
    <w:rsid w:val="249934CC"/>
    <w:rsid w:val="27761A55"/>
    <w:rsid w:val="28A6638E"/>
    <w:rsid w:val="294D7C2B"/>
    <w:rsid w:val="29D924B3"/>
    <w:rsid w:val="2C3E3B03"/>
    <w:rsid w:val="2C5510AB"/>
    <w:rsid w:val="2D4035C9"/>
    <w:rsid w:val="313C1FFC"/>
    <w:rsid w:val="31A027E8"/>
    <w:rsid w:val="31F66EDC"/>
    <w:rsid w:val="32A81271"/>
    <w:rsid w:val="33086949"/>
    <w:rsid w:val="33092AFE"/>
    <w:rsid w:val="34C264C0"/>
    <w:rsid w:val="381620D0"/>
    <w:rsid w:val="388F75DE"/>
    <w:rsid w:val="39FB6A2B"/>
    <w:rsid w:val="3AC4253E"/>
    <w:rsid w:val="3DED7999"/>
    <w:rsid w:val="40BC7578"/>
    <w:rsid w:val="41296F18"/>
    <w:rsid w:val="43071847"/>
    <w:rsid w:val="44E54B6E"/>
    <w:rsid w:val="45010CAB"/>
    <w:rsid w:val="45040EC4"/>
    <w:rsid w:val="459E648A"/>
    <w:rsid w:val="46400EC7"/>
    <w:rsid w:val="46895C4A"/>
    <w:rsid w:val="47765CF3"/>
    <w:rsid w:val="47EA37F6"/>
    <w:rsid w:val="48666A2A"/>
    <w:rsid w:val="48B32AE0"/>
    <w:rsid w:val="4A2B2C5D"/>
    <w:rsid w:val="4A2F0D09"/>
    <w:rsid w:val="4A376609"/>
    <w:rsid w:val="4B11595A"/>
    <w:rsid w:val="4E90619F"/>
    <w:rsid w:val="4FCD4F8D"/>
    <w:rsid w:val="50594028"/>
    <w:rsid w:val="50E969F4"/>
    <w:rsid w:val="52915EBC"/>
    <w:rsid w:val="52E012EE"/>
    <w:rsid w:val="53064D03"/>
    <w:rsid w:val="536901D9"/>
    <w:rsid w:val="540A386B"/>
    <w:rsid w:val="55387E11"/>
    <w:rsid w:val="593045D3"/>
    <w:rsid w:val="599A38A3"/>
    <w:rsid w:val="5A563559"/>
    <w:rsid w:val="5A973A98"/>
    <w:rsid w:val="5AB34763"/>
    <w:rsid w:val="5BFB4DC2"/>
    <w:rsid w:val="5C1569BC"/>
    <w:rsid w:val="5C256164"/>
    <w:rsid w:val="5C9B78D7"/>
    <w:rsid w:val="5D0C76BA"/>
    <w:rsid w:val="606B624D"/>
    <w:rsid w:val="66E80A31"/>
    <w:rsid w:val="68DC447D"/>
    <w:rsid w:val="69DD5ACD"/>
    <w:rsid w:val="6B3F6790"/>
    <w:rsid w:val="6B69774F"/>
    <w:rsid w:val="6BAF6AF7"/>
    <w:rsid w:val="6C5D725C"/>
    <w:rsid w:val="6D256DE6"/>
    <w:rsid w:val="6DC23E75"/>
    <w:rsid w:val="6F577C04"/>
    <w:rsid w:val="6F9305EF"/>
    <w:rsid w:val="70937F38"/>
    <w:rsid w:val="71047766"/>
    <w:rsid w:val="71E07B25"/>
    <w:rsid w:val="731E5473"/>
    <w:rsid w:val="73EB69B6"/>
    <w:rsid w:val="759A327F"/>
    <w:rsid w:val="75E71D84"/>
    <w:rsid w:val="761839F2"/>
    <w:rsid w:val="76B85951"/>
    <w:rsid w:val="771B0437"/>
    <w:rsid w:val="7846104B"/>
    <w:rsid w:val="79957CF0"/>
    <w:rsid w:val="7A926DB2"/>
    <w:rsid w:val="7A9B5904"/>
    <w:rsid w:val="7ACD268E"/>
    <w:rsid w:val="7BCA34B0"/>
    <w:rsid w:val="7E8056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563C1" w:themeColor="hyperlink"/>
      <w:u w:val="single"/>
    </w:rPr>
  </w:style>
  <w:style w:type="paragraph" w:customStyle="1"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36E7D-A0B2-49FE-98F4-1548913A8BB2}">
  <ds:schemaRefs/>
</ds:datastoreItem>
</file>

<file path=docProps/app.xml><?xml version="1.0" encoding="utf-8"?>
<Properties xmlns="http://schemas.openxmlformats.org/officeDocument/2006/extended-properties" xmlns:vt="http://schemas.openxmlformats.org/officeDocument/2006/docPropsVTypes">
  <Template>Normal</Template>
  <Pages>1</Pages>
  <Words>401</Words>
  <Characters>2288</Characters>
  <Lines>19</Lines>
  <Paragraphs>5</Paragraphs>
  <ScaleCrop>false</ScaleCrop>
  <LinksUpToDate>false</LinksUpToDate>
  <CharactersWithSpaces>2684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2019-12-06T06:56:00Z</dcterms:created>
  <dc:creator>wangpeng</dc:creator>
  <cp:lastModifiedBy>szj</cp:lastModifiedBy>
  <cp:lastPrinted>2020-02-06T05:27:00Z</cp:lastPrinted>
  <dcterms:modified xsi:type="dcterms:W3CDTF">2021-01-15T07:46:22Z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