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333333"/>
          <w:kern w:val="0"/>
          <w:sz w:val="44"/>
          <w:szCs w:val="44"/>
        </w:rPr>
      </w:pPr>
      <w:bookmarkStart w:id="0" w:name="_GoBack"/>
      <w:bookmarkEnd w:id="0"/>
      <w:r>
        <w:rPr>
          <w:rFonts w:hint="eastAsia" w:ascii="方正小标宋简体" w:hAnsi="方正小标宋简体" w:eastAsia="方正小标宋简体" w:cs="方正小标宋简体"/>
          <w:b w:val="0"/>
          <w:bCs w:val="0"/>
          <w:color w:val="333333"/>
          <w:kern w:val="0"/>
          <w:sz w:val="44"/>
          <w:szCs w:val="44"/>
        </w:rPr>
        <w:t>北京市公安局怀柔分局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color w:val="333333"/>
          <w:kern w:val="0"/>
          <w:sz w:val="44"/>
          <w:szCs w:val="44"/>
        </w:rPr>
      </w:pPr>
      <w:r>
        <w:rPr>
          <w:rFonts w:hint="eastAsia" w:ascii="方正小标宋简体" w:hAnsi="方正小标宋简体" w:eastAsia="方正小标宋简体" w:cs="方正小标宋简体"/>
          <w:b w:val="0"/>
          <w:bCs w:val="0"/>
          <w:color w:val="333333"/>
          <w:kern w:val="0"/>
          <w:sz w:val="44"/>
          <w:szCs w:val="44"/>
        </w:rPr>
        <w:t>2020年政府信息公开工作年度报告</w:t>
      </w:r>
    </w:p>
    <w:p>
      <w:pPr>
        <w:widowControl/>
        <w:shd w:val="clear" w:color="auto" w:fill="FFFFFF"/>
        <w:spacing w:line="360" w:lineRule="auto"/>
        <w:jc w:val="center"/>
        <w:rPr>
          <w:rFonts w:hint="eastAsia" w:ascii="宋体" w:hAnsi="宋体" w:eastAsia="宋体" w:cs="宋体"/>
          <w:b/>
          <w:bCs/>
          <w:color w:val="333333"/>
          <w:kern w:val="0"/>
          <w:sz w:val="44"/>
          <w:szCs w:val="44"/>
        </w:rPr>
      </w:pPr>
    </w:p>
    <w:p>
      <w:pPr>
        <w:autoSpaceDN w:val="0"/>
        <w:spacing w:line="560" w:lineRule="exact"/>
        <w:ind w:firstLine="640" w:firstLineChars="200"/>
        <w:jc w:val="left"/>
        <w:rPr>
          <w:rFonts w:ascii="仿宋_GB2312" w:hAnsi="仿宋_GB2312" w:eastAsia="仿宋_GB2312" w:cs="仿宋_GB2312"/>
          <w:sz w:val="32"/>
        </w:rPr>
      </w:pPr>
      <w:r>
        <w:rPr>
          <w:rFonts w:hint="eastAsia" w:ascii="仿宋_GB2312" w:hAnsi="仿宋_GB2312" w:eastAsia="仿宋_GB2312" w:cs="仿宋_GB2312"/>
          <w:sz w:val="32"/>
        </w:rPr>
        <w:t>依据《中华人民共和国政府信息公开条例》（以下</w:t>
      </w:r>
      <w:r>
        <w:rPr>
          <w:rFonts w:ascii="仿宋_GB2312" w:hAnsi="仿宋_GB2312" w:eastAsia="仿宋_GB2312" w:cs="仿宋_GB2312"/>
          <w:sz w:val="32"/>
        </w:rPr>
        <w:t>简称《</w:t>
      </w:r>
      <w:r>
        <w:rPr>
          <w:rFonts w:hint="eastAsia" w:ascii="仿宋_GB2312" w:hAnsi="仿宋_GB2312" w:eastAsia="仿宋_GB2312" w:cs="仿宋_GB2312"/>
          <w:sz w:val="32"/>
        </w:rPr>
        <w:t>政府</w:t>
      </w:r>
      <w:r>
        <w:rPr>
          <w:rFonts w:ascii="仿宋_GB2312" w:hAnsi="仿宋_GB2312" w:eastAsia="仿宋_GB2312" w:cs="仿宋_GB2312"/>
          <w:sz w:val="32"/>
        </w:rPr>
        <w:t>信息公开条例》</w:t>
      </w:r>
      <w:r>
        <w:rPr>
          <w:rFonts w:hint="eastAsia" w:ascii="仿宋_GB2312" w:hAnsi="仿宋_GB2312" w:eastAsia="仿宋_GB2312" w:cs="仿宋_GB2312"/>
          <w:sz w:val="32"/>
        </w:rPr>
        <w:t>）第五十条之规定，编制本报告。</w:t>
      </w:r>
    </w:p>
    <w:p>
      <w:pPr>
        <w:widowControl/>
        <w:shd w:val="clear" w:color="auto" w:fill="FFFFFF"/>
        <w:spacing w:line="560" w:lineRule="exact"/>
        <w:ind w:firstLine="640" w:firstLineChars="200"/>
        <w:rPr>
          <w:rFonts w:ascii="黑体" w:hAnsi="黑体" w:eastAsia="黑体" w:cs="黑体"/>
          <w:color w:val="333333"/>
          <w:kern w:val="0"/>
          <w:sz w:val="32"/>
          <w:szCs w:val="32"/>
        </w:rPr>
      </w:pPr>
      <w:r>
        <w:rPr>
          <w:rFonts w:hint="eastAsia" w:ascii="黑体" w:hAnsi="黑体" w:eastAsia="黑体" w:cs="黑体"/>
          <w:color w:val="333333"/>
          <w:kern w:val="0"/>
          <w:sz w:val="32"/>
          <w:szCs w:val="32"/>
        </w:rPr>
        <w:t>一、总体情况</w:t>
      </w:r>
    </w:p>
    <w:p>
      <w:pPr>
        <w:spacing w:line="520" w:lineRule="exact"/>
        <w:ind w:firstLine="640" w:firstLineChars="200"/>
        <w:rPr>
          <w:rFonts w:ascii="仿宋_GB2312" w:hAnsi="仿宋_GB2312" w:eastAsia="仿宋_GB2312" w:cs="仿宋_GB2312"/>
          <w:kern w:val="0"/>
          <w:sz w:val="32"/>
          <w:szCs w:val="32"/>
          <w:shd w:val="clear" w:color="auto" w:fill="FFFFFF"/>
          <w:lang w:bidi="ar"/>
        </w:rPr>
      </w:pPr>
      <w:r>
        <w:rPr>
          <w:rFonts w:hint="eastAsia" w:ascii="Times New Roman" w:hAnsi="Times New Roman" w:eastAsia="仿宋_GB2312" w:cs="Times New Roman"/>
          <w:sz w:val="32"/>
          <w:szCs w:val="32"/>
        </w:rPr>
        <w:t>2020年，北京市公安局怀柔分局坚持以习近平新时代中国特色社会主义思想为指导，深入贯彻党的十九大和十九届二中、三中、四中、</w:t>
      </w:r>
      <w:r>
        <w:rPr>
          <w:rFonts w:ascii="Times New Roman" w:hAnsi="Times New Roman" w:eastAsia="仿宋_GB2312" w:cs="Times New Roman"/>
          <w:sz w:val="32"/>
          <w:szCs w:val="32"/>
        </w:rPr>
        <w:t>五中</w:t>
      </w:r>
      <w:r>
        <w:rPr>
          <w:rFonts w:hint="eastAsia" w:ascii="Times New Roman" w:hAnsi="Times New Roman" w:eastAsia="仿宋_GB2312" w:cs="Times New Roman"/>
          <w:sz w:val="32"/>
          <w:szCs w:val="32"/>
        </w:rPr>
        <w:t>全会精神，坚持以人民为中心的发展思想，认真落实国务院、市政府、区政府关于政府信息公开工作各项部署要求，贯彻执行《中华人民共和国政府信息公开条例》和《北京市政府信息公开规定》，进一步优化主动公开内容，进一步完善依申请公开程序，不断提升全局政府信息公开工作质量和实效。</w:t>
      </w:r>
      <w:r>
        <w:rPr>
          <w:rFonts w:hint="eastAsia" w:ascii="仿宋_GB2312" w:hAnsi="仿宋_GB2312" w:eastAsia="仿宋_GB2312" w:cs="仿宋_GB2312"/>
          <w:kern w:val="0"/>
          <w:sz w:val="32"/>
          <w:szCs w:val="32"/>
          <w:shd w:val="clear" w:color="auto" w:fill="FFFFFF"/>
          <w:lang w:bidi="ar"/>
        </w:rPr>
        <w:t>通过“平安怀柔”微博和抖音账号、“怀柔e警务”微信公众平台，对社会关注的各类涉及公安的问题主动发声，回应群众需求，解读政策法规，取得良好成效。</w:t>
      </w:r>
    </w:p>
    <w:p>
      <w:pPr>
        <w:widowControl/>
        <w:shd w:val="clear" w:color="auto" w:fill="FFFFFF"/>
        <w:spacing w:after="240" w:line="360" w:lineRule="auto"/>
        <w:ind w:firstLine="480"/>
        <w:rPr>
          <w:rFonts w:ascii="黑体" w:hAnsi="黑体" w:eastAsia="黑体" w:cs="宋体"/>
          <w:color w:val="333333"/>
          <w:kern w:val="0"/>
          <w:sz w:val="32"/>
          <w:szCs w:val="32"/>
        </w:rPr>
      </w:pPr>
      <w:r>
        <w:rPr>
          <w:rFonts w:hint="eastAsia" w:ascii="黑体" w:hAnsi="黑体" w:eastAsia="黑体" w:cs="宋体"/>
          <w:bCs/>
          <w:color w:val="333333"/>
          <w:kern w:val="0"/>
          <w:sz w:val="32"/>
          <w:szCs w:val="32"/>
        </w:rPr>
        <w:t>二、主动公开政府信息情况</w:t>
      </w:r>
    </w:p>
    <w:tbl>
      <w:tblPr>
        <w:tblStyle w:val="7"/>
        <w:tblW w:w="8948" w:type="dxa"/>
        <w:jc w:val="center"/>
        <w:tblInd w:w="0" w:type="dxa"/>
        <w:tblLayout w:type="fixed"/>
        <w:tblCellMar>
          <w:top w:w="0" w:type="dxa"/>
          <w:left w:w="0" w:type="dxa"/>
          <w:bottom w:w="0" w:type="dxa"/>
          <w:right w:w="0" w:type="dxa"/>
        </w:tblCellMar>
      </w:tblPr>
      <w:tblGrid>
        <w:gridCol w:w="1557"/>
        <w:gridCol w:w="1556"/>
        <w:gridCol w:w="1875"/>
        <w:gridCol w:w="6"/>
        <w:gridCol w:w="1265"/>
        <w:gridCol w:w="2689"/>
      </w:tblGrid>
      <w:tr>
        <w:tblPrEx>
          <w:tblLayout w:type="fixed"/>
          <w:tblCellMar>
            <w:top w:w="0" w:type="dxa"/>
            <w:left w:w="0" w:type="dxa"/>
            <w:bottom w:w="0" w:type="dxa"/>
            <w:right w:w="0" w:type="dxa"/>
          </w:tblCellMar>
        </w:tblPrEx>
        <w:trPr>
          <w:trHeight w:val="495" w:hRule="atLeast"/>
          <w:jc w:val="center"/>
        </w:trPr>
        <w:tc>
          <w:tcPr>
            <w:tcW w:w="8948" w:type="dxa"/>
            <w:gridSpan w:val="6"/>
            <w:tcBorders>
              <w:top w:val="single" w:color="auto" w:sz="8" w:space="0"/>
              <w:left w:val="single" w:color="auto" w:sz="8" w:space="0"/>
              <w:bottom w:val="single" w:color="auto" w:sz="8" w:space="0"/>
              <w:right w:val="single" w:color="auto" w:sz="8" w:space="0"/>
            </w:tcBorders>
            <w:shd w:val="clear" w:color="auto" w:fill="C6D9F1"/>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第二十条第（一）项</w:t>
            </w:r>
          </w:p>
        </w:tc>
      </w:tr>
      <w:tr>
        <w:tblPrEx>
          <w:tblLayout w:type="fixed"/>
          <w:tblCellMar>
            <w:top w:w="0" w:type="dxa"/>
            <w:left w:w="0" w:type="dxa"/>
            <w:bottom w:w="0" w:type="dxa"/>
            <w:right w:w="0" w:type="dxa"/>
          </w:tblCellMar>
        </w:tblPrEx>
        <w:trPr>
          <w:trHeight w:val="882"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信息</w:t>
            </w:r>
          </w:p>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内容</w:t>
            </w:r>
          </w:p>
        </w:tc>
        <w:tc>
          <w:tcPr>
            <w:tcW w:w="187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本年新</w:t>
            </w:r>
            <w:r>
              <w:rPr>
                <w:rFonts w:hint="eastAsia" w:ascii="宋体" w:hAnsi="宋体" w:eastAsia="宋体" w:cs="宋体"/>
                <w:color w:val="000000"/>
                <w:kern w:val="0"/>
                <w:sz w:val="20"/>
                <w:szCs w:val="20"/>
              </w:rPr>
              <w:br w:type="textWrapping"/>
            </w:r>
            <w:r>
              <w:rPr>
                <w:rFonts w:ascii="宋体" w:hAnsi="宋体" w:eastAsia="宋体" w:cs="宋体"/>
                <w:kern w:val="0"/>
                <w:sz w:val="20"/>
                <w:szCs w:val="20"/>
              </w:rPr>
              <w:t>制作数量</w:t>
            </w:r>
          </w:p>
        </w:tc>
        <w:tc>
          <w:tcPr>
            <w:tcW w:w="1271"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本年新</w:t>
            </w:r>
            <w:r>
              <w:rPr>
                <w:rFonts w:hint="eastAsia" w:ascii="宋体" w:hAnsi="宋体" w:eastAsia="宋体" w:cs="宋体"/>
                <w:color w:val="000000"/>
                <w:kern w:val="0"/>
                <w:sz w:val="20"/>
                <w:szCs w:val="20"/>
              </w:rPr>
              <w:br w:type="textWrapping"/>
            </w:r>
            <w:r>
              <w:rPr>
                <w:rFonts w:ascii="宋体" w:hAnsi="宋体" w:eastAsia="宋体" w:cs="宋体"/>
                <w:kern w:val="0"/>
                <w:sz w:val="20"/>
                <w:szCs w:val="20"/>
              </w:rPr>
              <w:t>公开数量</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对外公开总数量</w:t>
            </w:r>
          </w:p>
        </w:tc>
      </w:tr>
      <w:tr>
        <w:tblPrEx>
          <w:tblLayout w:type="fixed"/>
          <w:tblCellMar>
            <w:top w:w="0" w:type="dxa"/>
            <w:left w:w="0" w:type="dxa"/>
            <w:bottom w:w="0" w:type="dxa"/>
            <w:right w:w="0" w:type="dxa"/>
          </w:tblCellMar>
        </w:tblPrEx>
        <w:trPr>
          <w:trHeight w:val="523"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规章</w:t>
            </w:r>
          </w:p>
        </w:tc>
        <w:tc>
          <w:tcPr>
            <w:tcW w:w="18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127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trHeight w:val="471"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规范性文件</w:t>
            </w:r>
          </w:p>
        </w:tc>
        <w:tc>
          <w:tcPr>
            <w:tcW w:w="18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127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trHeight w:val="480" w:hRule="atLeast"/>
          <w:jc w:val="center"/>
        </w:trPr>
        <w:tc>
          <w:tcPr>
            <w:tcW w:w="8948" w:type="dxa"/>
            <w:gridSpan w:val="6"/>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第二十条第（五）项</w:t>
            </w:r>
          </w:p>
        </w:tc>
      </w:tr>
      <w:tr>
        <w:tblPrEx>
          <w:tblLayout w:type="fixed"/>
          <w:tblCellMar>
            <w:top w:w="0" w:type="dxa"/>
            <w:left w:w="0" w:type="dxa"/>
            <w:bottom w:w="0" w:type="dxa"/>
            <w:right w:w="0" w:type="dxa"/>
          </w:tblCellMar>
        </w:tblPrEx>
        <w:trPr>
          <w:trHeight w:val="634"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信息内容</w:t>
            </w:r>
          </w:p>
        </w:tc>
        <w:tc>
          <w:tcPr>
            <w:tcW w:w="187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上一年项目数量</w:t>
            </w:r>
          </w:p>
        </w:tc>
        <w:tc>
          <w:tcPr>
            <w:tcW w:w="1271"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本年增/减</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处理决定数量</w:t>
            </w:r>
          </w:p>
        </w:tc>
      </w:tr>
      <w:tr>
        <w:tblPrEx>
          <w:tblLayout w:type="fixed"/>
          <w:tblCellMar>
            <w:top w:w="0" w:type="dxa"/>
            <w:left w:w="0" w:type="dxa"/>
            <w:bottom w:w="0" w:type="dxa"/>
            <w:right w:w="0" w:type="dxa"/>
          </w:tblCellMar>
        </w:tblPrEx>
        <w:trPr>
          <w:trHeight w:val="527" w:hRule="atLeast"/>
          <w:jc w:val="center"/>
        </w:trPr>
        <w:tc>
          <w:tcPr>
            <w:tcW w:w="3113"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行政许可</w:t>
            </w:r>
          </w:p>
        </w:tc>
        <w:tc>
          <w:tcPr>
            <w:tcW w:w="1881"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41</w:t>
            </w:r>
          </w:p>
        </w:tc>
        <w:tc>
          <w:tcPr>
            <w:tcW w:w="126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ascii="宋体" w:hAnsi="宋体" w:eastAsia="宋体" w:cs="宋体"/>
                <w:color w:val="000000"/>
                <w:kern w:val="0"/>
                <w:sz w:val="20"/>
                <w:szCs w:val="20"/>
                <w:lang w:bidi="ar"/>
              </w:rPr>
              <w:t>+19</w:t>
            </w:r>
          </w:p>
        </w:tc>
        <w:tc>
          <w:tcPr>
            <w:tcW w:w="268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highlight w:val="yellow"/>
              </w:rPr>
            </w:pPr>
            <w:r>
              <w:rPr>
                <w:rFonts w:hint="eastAsia" w:ascii="宋体" w:hAnsi="宋体" w:eastAsia="宋体" w:cs="宋体"/>
                <w:color w:val="000000"/>
                <w:kern w:val="0"/>
                <w:sz w:val="20"/>
                <w:szCs w:val="20"/>
                <w:lang w:bidi="ar"/>
              </w:rPr>
              <w:t>64371</w:t>
            </w:r>
          </w:p>
        </w:tc>
      </w:tr>
      <w:tr>
        <w:tblPrEx>
          <w:tblLayout w:type="fixed"/>
          <w:tblCellMar>
            <w:top w:w="0" w:type="dxa"/>
            <w:left w:w="0" w:type="dxa"/>
            <w:bottom w:w="0" w:type="dxa"/>
            <w:right w:w="0" w:type="dxa"/>
          </w:tblCellMar>
        </w:tblPrEx>
        <w:trPr>
          <w:trHeight w:val="528" w:hRule="atLeast"/>
          <w:jc w:val="center"/>
        </w:trPr>
        <w:tc>
          <w:tcPr>
            <w:tcW w:w="1557"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bidi="ar"/>
              </w:rPr>
              <w:t>其他对外管理服务事项</w:t>
            </w:r>
          </w:p>
        </w:tc>
        <w:tc>
          <w:tcPr>
            <w:tcW w:w="15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sz w:val="20"/>
                <w:szCs w:val="20"/>
              </w:rPr>
            </w:pPr>
            <w:r>
              <w:rPr>
                <w:rFonts w:hint="eastAsia" w:ascii="宋体" w:hAnsi="宋体" w:eastAsia="宋体" w:cs="宋体"/>
                <w:color w:val="000000"/>
                <w:kern w:val="0"/>
                <w:sz w:val="20"/>
                <w:szCs w:val="20"/>
                <w:lang w:bidi="ar"/>
              </w:rPr>
              <w:t>行政检查</w:t>
            </w:r>
          </w:p>
        </w:tc>
        <w:tc>
          <w:tcPr>
            <w:tcW w:w="1881"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bidi="ar"/>
              </w:rPr>
              <w:t>13</w:t>
            </w:r>
          </w:p>
        </w:tc>
        <w:tc>
          <w:tcPr>
            <w:tcW w:w="12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bidi="ar"/>
              </w:rPr>
              <w:t>0</w:t>
            </w:r>
          </w:p>
        </w:tc>
        <w:tc>
          <w:tcPr>
            <w:tcW w:w="268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color w:val="000000"/>
                <w:kern w:val="0"/>
                <w:sz w:val="20"/>
                <w:szCs w:val="20"/>
                <w:highlight w:val="yellow"/>
              </w:rPr>
            </w:pPr>
            <w:r>
              <w:rPr>
                <w:rFonts w:hint="eastAsia" w:ascii="宋体" w:hAnsi="宋体" w:eastAsia="宋体" w:cs="宋体"/>
                <w:color w:val="000000"/>
                <w:kern w:val="0"/>
                <w:sz w:val="20"/>
                <w:szCs w:val="20"/>
                <w:lang w:bidi="ar"/>
              </w:rPr>
              <w:t>24598</w:t>
            </w:r>
          </w:p>
        </w:tc>
      </w:tr>
      <w:tr>
        <w:tblPrEx>
          <w:tblLayout w:type="fixed"/>
          <w:tblCellMar>
            <w:top w:w="0" w:type="dxa"/>
            <w:left w:w="0" w:type="dxa"/>
            <w:bottom w:w="0" w:type="dxa"/>
            <w:right w:w="0" w:type="dxa"/>
          </w:tblCellMar>
        </w:tblPrEx>
        <w:trPr>
          <w:trHeight w:val="550" w:hRule="atLeast"/>
          <w:jc w:val="center"/>
        </w:trPr>
        <w:tc>
          <w:tcPr>
            <w:tcW w:w="1557" w:type="dxa"/>
            <w:vMerge w:val="continue"/>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p>
        </w:tc>
        <w:tc>
          <w:tcPr>
            <w:tcW w:w="155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sz w:val="20"/>
                <w:szCs w:val="20"/>
              </w:rPr>
            </w:pPr>
            <w:r>
              <w:rPr>
                <w:rFonts w:hint="eastAsia" w:ascii="宋体" w:hAnsi="宋体" w:eastAsia="宋体" w:cs="宋体"/>
                <w:color w:val="000000"/>
                <w:kern w:val="0"/>
                <w:sz w:val="20"/>
                <w:szCs w:val="20"/>
                <w:lang w:bidi="ar"/>
              </w:rPr>
              <w:t>行政确认</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17</w:t>
            </w:r>
          </w:p>
        </w:tc>
        <w:tc>
          <w:tcPr>
            <w:tcW w:w="126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ascii="宋体" w:hAnsi="宋体" w:eastAsia="宋体" w:cs="宋体"/>
                <w:color w:val="000000"/>
                <w:kern w:val="0"/>
                <w:sz w:val="20"/>
                <w:szCs w:val="20"/>
                <w:lang w:bidi="ar"/>
              </w:rPr>
              <w:t>+1</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highlight w:val="yellow"/>
              </w:rPr>
            </w:pPr>
            <w:r>
              <w:rPr>
                <w:rFonts w:hint="eastAsia" w:ascii="宋体" w:hAnsi="宋体" w:eastAsia="宋体" w:cs="宋体"/>
                <w:color w:val="000000"/>
                <w:kern w:val="0"/>
                <w:sz w:val="20"/>
                <w:szCs w:val="20"/>
                <w:lang w:bidi="ar"/>
              </w:rPr>
              <w:t>156218</w:t>
            </w:r>
          </w:p>
        </w:tc>
      </w:tr>
      <w:tr>
        <w:tblPrEx>
          <w:tblLayout w:type="fixed"/>
          <w:tblCellMar>
            <w:top w:w="0" w:type="dxa"/>
            <w:left w:w="0" w:type="dxa"/>
            <w:bottom w:w="0" w:type="dxa"/>
            <w:right w:w="0" w:type="dxa"/>
          </w:tblCellMar>
        </w:tblPrEx>
        <w:trPr>
          <w:trHeight w:val="406" w:hRule="atLeast"/>
          <w:jc w:val="center"/>
        </w:trPr>
        <w:tc>
          <w:tcPr>
            <w:tcW w:w="8948" w:type="dxa"/>
            <w:gridSpan w:val="6"/>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第二十条第（六）项</w:t>
            </w:r>
          </w:p>
        </w:tc>
      </w:tr>
      <w:tr>
        <w:tblPrEx>
          <w:tblLayout w:type="fixed"/>
          <w:tblCellMar>
            <w:top w:w="0" w:type="dxa"/>
            <w:left w:w="0" w:type="dxa"/>
            <w:bottom w:w="0" w:type="dxa"/>
            <w:right w:w="0" w:type="dxa"/>
          </w:tblCellMar>
        </w:tblPrEx>
        <w:trPr>
          <w:trHeight w:val="634"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信息内容</w:t>
            </w:r>
          </w:p>
        </w:tc>
        <w:tc>
          <w:tcPr>
            <w:tcW w:w="187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上一年项目数量</w:t>
            </w:r>
          </w:p>
        </w:tc>
        <w:tc>
          <w:tcPr>
            <w:tcW w:w="1271"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本年增/减</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处理决定数量</w:t>
            </w:r>
          </w:p>
        </w:tc>
      </w:tr>
      <w:tr>
        <w:tblPrEx>
          <w:tblLayout w:type="fixed"/>
          <w:tblCellMar>
            <w:top w:w="0" w:type="dxa"/>
            <w:left w:w="0" w:type="dxa"/>
            <w:bottom w:w="0" w:type="dxa"/>
            <w:right w:w="0" w:type="dxa"/>
          </w:tblCellMar>
        </w:tblPrEx>
        <w:trPr>
          <w:trHeight w:val="430"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行政处罚</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897</w:t>
            </w:r>
          </w:p>
        </w:tc>
        <w:tc>
          <w:tcPr>
            <w:tcW w:w="126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0</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highlight w:val="yellow"/>
              </w:rPr>
            </w:pPr>
            <w:r>
              <w:rPr>
                <w:rFonts w:hint="eastAsia" w:ascii="宋体" w:hAnsi="宋体" w:eastAsia="宋体" w:cs="宋体"/>
                <w:color w:val="000000"/>
                <w:kern w:val="0"/>
                <w:sz w:val="20"/>
                <w:szCs w:val="20"/>
                <w:lang w:bidi="ar"/>
              </w:rPr>
              <w:t>157028</w:t>
            </w:r>
          </w:p>
        </w:tc>
      </w:tr>
      <w:tr>
        <w:tblPrEx>
          <w:tblLayout w:type="fixed"/>
          <w:tblCellMar>
            <w:top w:w="0" w:type="dxa"/>
            <w:left w:w="0" w:type="dxa"/>
            <w:bottom w:w="0" w:type="dxa"/>
            <w:right w:w="0" w:type="dxa"/>
          </w:tblCellMar>
        </w:tblPrEx>
        <w:trPr>
          <w:trHeight w:val="409"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行政强制</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55</w:t>
            </w:r>
          </w:p>
        </w:tc>
        <w:tc>
          <w:tcPr>
            <w:tcW w:w="126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0</w:t>
            </w:r>
          </w:p>
        </w:tc>
        <w:tc>
          <w:tcPr>
            <w:tcW w:w="268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highlight w:val="yellow"/>
              </w:rPr>
            </w:pPr>
            <w:r>
              <w:rPr>
                <w:rFonts w:hint="eastAsia" w:ascii="宋体" w:hAnsi="宋体" w:eastAsia="宋体" w:cs="宋体"/>
                <w:color w:val="000000"/>
                <w:kern w:val="0"/>
                <w:sz w:val="20"/>
                <w:szCs w:val="20"/>
                <w:lang w:bidi="ar"/>
              </w:rPr>
              <w:t>1541</w:t>
            </w:r>
          </w:p>
        </w:tc>
      </w:tr>
      <w:tr>
        <w:tblPrEx>
          <w:tblLayout w:type="fixed"/>
          <w:tblCellMar>
            <w:top w:w="0" w:type="dxa"/>
            <w:left w:w="0" w:type="dxa"/>
            <w:bottom w:w="0" w:type="dxa"/>
            <w:right w:w="0" w:type="dxa"/>
          </w:tblCellMar>
        </w:tblPrEx>
        <w:trPr>
          <w:trHeight w:val="474" w:hRule="atLeast"/>
          <w:jc w:val="center"/>
        </w:trPr>
        <w:tc>
          <w:tcPr>
            <w:tcW w:w="8948" w:type="dxa"/>
            <w:gridSpan w:val="6"/>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第二十条第（八）项</w:t>
            </w:r>
          </w:p>
        </w:tc>
      </w:tr>
      <w:tr>
        <w:tblPrEx>
          <w:tblLayout w:type="fixed"/>
          <w:tblCellMar>
            <w:top w:w="0" w:type="dxa"/>
            <w:left w:w="0" w:type="dxa"/>
            <w:bottom w:w="0" w:type="dxa"/>
            <w:right w:w="0" w:type="dxa"/>
          </w:tblCellMar>
        </w:tblPrEx>
        <w:trPr>
          <w:trHeight w:val="270"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信息内容</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上一年项目数量</w:t>
            </w:r>
          </w:p>
        </w:tc>
        <w:tc>
          <w:tcPr>
            <w:tcW w:w="3954" w:type="dxa"/>
            <w:gridSpan w:val="2"/>
            <w:tcBorders>
              <w:top w:val="single" w:color="auto" w:sz="8" w:space="0"/>
              <w:left w:val="nil"/>
              <w:bottom w:val="single" w:color="auto" w:sz="8" w:space="0"/>
              <w:right w:val="single" w:color="000000"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本年增/减</w:t>
            </w:r>
          </w:p>
        </w:tc>
      </w:tr>
      <w:tr>
        <w:tblPrEx>
          <w:tblLayout w:type="fixed"/>
          <w:tblCellMar>
            <w:top w:w="0" w:type="dxa"/>
            <w:left w:w="0" w:type="dxa"/>
            <w:bottom w:w="0" w:type="dxa"/>
            <w:right w:w="0" w:type="dxa"/>
          </w:tblCellMar>
        </w:tblPrEx>
        <w:trPr>
          <w:trHeight w:val="551"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行政事业性收费</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ascii="宋体" w:hAnsi="宋体" w:eastAsia="宋体" w:cs="宋体"/>
                <w:color w:val="000000"/>
                <w:kern w:val="0"/>
                <w:sz w:val="20"/>
                <w:szCs w:val="20"/>
                <w:lang w:bidi="ar"/>
              </w:rPr>
              <w:t>30</w:t>
            </w:r>
          </w:p>
        </w:tc>
        <w:tc>
          <w:tcPr>
            <w:tcW w:w="3954" w:type="dxa"/>
            <w:gridSpan w:val="2"/>
            <w:tcBorders>
              <w:top w:val="nil"/>
              <w:left w:val="nil"/>
              <w:bottom w:val="single" w:color="auto" w:sz="8" w:space="0"/>
              <w:right w:val="single" w:color="000000"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0</w:t>
            </w:r>
          </w:p>
        </w:tc>
      </w:tr>
      <w:tr>
        <w:tblPrEx>
          <w:tblLayout w:type="fixed"/>
          <w:tblCellMar>
            <w:top w:w="0" w:type="dxa"/>
            <w:left w:w="0" w:type="dxa"/>
            <w:bottom w:w="0" w:type="dxa"/>
            <w:right w:w="0" w:type="dxa"/>
          </w:tblCellMar>
        </w:tblPrEx>
        <w:trPr>
          <w:trHeight w:val="476" w:hRule="atLeast"/>
          <w:jc w:val="center"/>
        </w:trPr>
        <w:tc>
          <w:tcPr>
            <w:tcW w:w="8948" w:type="dxa"/>
            <w:gridSpan w:val="6"/>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第二十条第（九）项</w:t>
            </w:r>
          </w:p>
        </w:tc>
      </w:tr>
      <w:tr>
        <w:tblPrEx>
          <w:tblLayout w:type="fixed"/>
          <w:tblCellMar>
            <w:top w:w="0" w:type="dxa"/>
            <w:left w:w="0" w:type="dxa"/>
            <w:bottom w:w="0" w:type="dxa"/>
            <w:right w:w="0" w:type="dxa"/>
          </w:tblCellMar>
        </w:tblPrEx>
        <w:trPr>
          <w:trHeight w:val="585"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信息内容</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采购项目数量</w:t>
            </w:r>
          </w:p>
        </w:tc>
        <w:tc>
          <w:tcPr>
            <w:tcW w:w="3954" w:type="dxa"/>
            <w:gridSpan w:val="2"/>
            <w:tcBorders>
              <w:top w:val="single" w:color="auto" w:sz="8" w:space="0"/>
              <w:left w:val="nil"/>
              <w:bottom w:val="single" w:color="auto" w:sz="8" w:space="0"/>
              <w:right w:val="single" w:color="000000"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采购总金额（万元）</w:t>
            </w:r>
          </w:p>
        </w:tc>
      </w:tr>
      <w:tr>
        <w:tblPrEx>
          <w:tblLayout w:type="fixed"/>
          <w:tblCellMar>
            <w:top w:w="0" w:type="dxa"/>
            <w:left w:w="0" w:type="dxa"/>
            <w:bottom w:w="0" w:type="dxa"/>
            <w:right w:w="0" w:type="dxa"/>
          </w:tblCellMar>
        </w:tblPrEx>
        <w:trPr>
          <w:trHeight w:val="539" w:hRule="atLeast"/>
          <w:jc w:val="center"/>
        </w:trPr>
        <w:tc>
          <w:tcPr>
            <w:tcW w:w="3113"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政府集中采购</w:t>
            </w:r>
          </w:p>
        </w:tc>
        <w:tc>
          <w:tcPr>
            <w:tcW w:w="188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69</w:t>
            </w:r>
          </w:p>
        </w:tc>
        <w:tc>
          <w:tcPr>
            <w:tcW w:w="3954" w:type="dxa"/>
            <w:gridSpan w:val="2"/>
            <w:tcBorders>
              <w:top w:val="nil"/>
              <w:left w:val="nil"/>
              <w:bottom w:val="single" w:color="auto" w:sz="8" w:space="0"/>
              <w:right w:val="single" w:color="000000"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lang w:bidi="ar"/>
              </w:rPr>
              <w:t>699.2698</w:t>
            </w:r>
          </w:p>
        </w:tc>
      </w:tr>
    </w:tbl>
    <w:p>
      <w:pPr>
        <w:widowControl/>
        <w:shd w:val="clear" w:color="auto" w:fill="FFFFFF"/>
        <w:ind w:firstLine="480"/>
        <w:rPr>
          <w:rFonts w:ascii="宋体" w:hAnsi="宋体" w:eastAsia="宋体" w:cs="宋体"/>
          <w:color w:val="333333"/>
          <w:kern w:val="0"/>
          <w:sz w:val="24"/>
          <w:szCs w:val="24"/>
        </w:rPr>
      </w:pPr>
    </w:p>
    <w:p>
      <w:pPr>
        <w:widowControl/>
        <w:shd w:val="clear" w:color="auto" w:fill="FFFFFF"/>
        <w:spacing w:after="240"/>
        <w:ind w:firstLine="480"/>
        <w:rPr>
          <w:rFonts w:ascii="黑体" w:hAnsi="黑体" w:eastAsia="黑体" w:cs="宋体"/>
          <w:color w:val="333333"/>
          <w:kern w:val="0"/>
          <w:sz w:val="32"/>
          <w:szCs w:val="32"/>
        </w:rPr>
      </w:pPr>
      <w:r>
        <w:rPr>
          <w:rFonts w:hint="eastAsia" w:ascii="黑体" w:hAnsi="黑体" w:eastAsia="黑体" w:cs="宋体"/>
          <w:bCs/>
          <w:color w:val="333333"/>
          <w:kern w:val="0"/>
          <w:sz w:val="32"/>
          <w:szCs w:val="32"/>
        </w:rPr>
        <w:t>三、收到和处理政府信息公开申请情况</w:t>
      </w:r>
    </w:p>
    <w:tbl>
      <w:tblPr>
        <w:tblStyle w:val="7"/>
        <w:tblW w:w="9071" w:type="dxa"/>
        <w:jc w:val="center"/>
        <w:tblInd w:w="0" w:type="dxa"/>
        <w:tblLayout w:type="fixed"/>
        <w:tblCellMar>
          <w:top w:w="0" w:type="dxa"/>
          <w:left w:w="0" w:type="dxa"/>
          <w:bottom w:w="0" w:type="dxa"/>
          <w:right w:w="0" w:type="dxa"/>
        </w:tblCellMar>
      </w:tblPr>
      <w:tblGrid>
        <w:gridCol w:w="616"/>
        <w:gridCol w:w="703"/>
        <w:gridCol w:w="2236"/>
        <w:gridCol w:w="814"/>
        <w:gridCol w:w="755"/>
        <w:gridCol w:w="755"/>
        <w:gridCol w:w="813"/>
        <w:gridCol w:w="973"/>
        <w:gridCol w:w="711"/>
        <w:gridCol w:w="695"/>
      </w:tblGrid>
      <w:tr>
        <w:tblPrEx>
          <w:tblLayout w:type="fixed"/>
          <w:tblCellMar>
            <w:top w:w="0" w:type="dxa"/>
            <w:left w:w="0" w:type="dxa"/>
            <w:bottom w:w="0" w:type="dxa"/>
            <w:right w:w="0" w:type="dxa"/>
          </w:tblCellMar>
        </w:tblPrEx>
        <w:trPr>
          <w:jc w:val="center"/>
        </w:trPr>
        <w:tc>
          <w:tcPr>
            <w:tcW w:w="3555" w:type="dxa"/>
            <w:gridSpan w:val="3"/>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（本列数据的勾稽关系为：第一项加第二项之和，等于第三项加第四项之和）</w:t>
            </w:r>
          </w:p>
        </w:tc>
        <w:tc>
          <w:tcPr>
            <w:tcW w:w="5516" w:type="dxa"/>
            <w:gridSpan w:val="7"/>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申请人情况</w:t>
            </w:r>
          </w:p>
        </w:tc>
      </w:tr>
      <w:tr>
        <w:tblPrEx>
          <w:tblLayout w:type="fixed"/>
          <w:tblCellMar>
            <w:top w:w="0" w:type="dxa"/>
            <w:left w:w="0" w:type="dxa"/>
            <w:bottom w:w="0" w:type="dxa"/>
            <w:right w:w="0" w:type="dxa"/>
          </w:tblCellMar>
        </w:tblPrEx>
        <w:trPr>
          <w:jc w:val="center"/>
        </w:trPr>
        <w:tc>
          <w:tcPr>
            <w:tcW w:w="3555" w:type="dxa"/>
            <w:gridSpan w:val="3"/>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814"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自然人</w:t>
            </w:r>
          </w:p>
        </w:tc>
        <w:tc>
          <w:tcPr>
            <w:tcW w:w="4007"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法人或其他组织</w:t>
            </w:r>
          </w:p>
        </w:tc>
        <w:tc>
          <w:tcPr>
            <w:tcW w:w="695"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总计</w:t>
            </w:r>
          </w:p>
        </w:tc>
      </w:tr>
      <w:tr>
        <w:tblPrEx>
          <w:tblLayout w:type="fixed"/>
          <w:tblCellMar>
            <w:top w:w="0" w:type="dxa"/>
            <w:left w:w="0" w:type="dxa"/>
            <w:bottom w:w="0" w:type="dxa"/>
            <w:right w:w="0" w:type="dxa"/>
          </w:tblCellMar>
        </w:tblPrEx>
        <w:trPr>
          <w:jc w:val="center"/>
        </w:trPr>
        <w:tc>
          <w:tcPr>
            <w:tcW w:w="3555" w:type="dxa"/>
            <w:gridSpan w:val="3"/>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814"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商业企业</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科研机构</w:t>
            </w:r>
          </w:p>
        </w:tc>
        <w:tc>
          <w:tcPr>
            <w:tcW w:w="8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社会公益组织</w:t>
            </w:r>
          </w:p>
        </w:tc>
        <w:tc>
          <w:tcPr>
            <w:tcW w:w="97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法律服务机构</w:t>
            </w:r>
          </w:p>
        </w:tc>
        <w:tc>
          <w:tcPr>
            <w:tcW w:w="71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其他</w:t>
            </w:r>
          </w:p>
        </w:tc>
        <w:tc>
          <w:tcPr>
            <w:tcW w:w="695"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r>
      <w:tr>
        <w:tblPrEx>
          <w:tblLayout w:type="fixed"/>
          <w:tblCellMar>
            <w:top w:w="0" w:type="dxa"/>
            <w:left w:w="0" w:type="dxa"/>
            <w:bottom w:w="0" w:type="dxa"/>
            <w:right w:w="0" w:type="dxa"/>
          </w:tblCellMar>
        </w:tblPrEx>
        <w:trPr>
          <w:jc w:val="center"/>
        </w:trPr>
        <w:tc>
          <w:tcPr>
            <w:tcW w:w="3555"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kern w:val="0"/>
                <w:sz w:val="20"/>
                <w:szCs w:val="20"/>
              </w:rPr>
              <w:t>一、本年新收政府信息公开申请数量</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eastAsia="zh-CN"/>
              </w:rPr>
            </w:pPr>
            <w:r>
              <w:rPr>
                <w:rFonts w:hint="eastAsia" w:ascii="宋体" w:hAnsi="宋体" w:eastAsia="宋体" w:cs="宋体"/>
                <w:color w:val="000000"/>
                <w:kern w:val="0"/>
                <w:sz w:val="20"/>
                <w:szCs w:val="20"/>
                <w:lang w:val="en-US" w:eastAsia="zh-CN" w:bidi="ar"/>
              </w:rPr>
              <w:t>11</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11</w:t>
            </w:r>
          </w:p>
        </w:tc>
      </w:tr>
      <w:tr>
        <w:tblPrEx>
          <w:tblLayout w:type="fixed"/>
          <w:tblCellMar>
            <w:top w:w="0" w:type="dxa"/>
            <w:left w:w="0" w:type="dxa"/>
            <w:bottom w:w="0" w:type="dxa"/>
            <w:right w:w="0" w:type="dxa"/>
          </w:tblCellMar>
        </w:tblPrEx>
        <w:trPr>
          <w:jc w:val="center"/>
        </w:trPr>
        <w:tc>
          <w:tcPr>
            <w:tcW w:w="3555"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kern w:val="0"/>
                <w:sz w:val="20"/>
                <w:szCs w:val="20"/>
              </w:rPr>
              <w:t>二、上年结转政府信息公开申请数量</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1</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1</w:t>
            </w:r>
          </w:p>
        </w:tc>
      </w:tr>
      <w:tr>
        <w:tblPrEx>
          <w:tblLayout w:type="fixed"/>
          <w:tblCellMar>
            <w:top w:w="0" w:type="dxa"/>
            <w:left w:w="0" w:type="dxa"/>
            <w:bottom w:w="0" w:type="dxa"/>
            <w:right w:w="0" w:type="dxa"/>
          </w:tblCellMar>
        </w:tblPrEx>
        <w:trPr>
          <w:jc w:val="center"/>
        </w:trPr>
        <w:tc>
          <w:tcPr>
            <w:tcW w:w="616"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三、本年度办理结果</w:t>
            </w:r>
          </w:p>
        </w:tc>
        <w:tc>
          <w:tcPr>
            <w:tcW w:w="2939"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（一）予以公开</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eastAsia="zh-CN"/>
              </w:rPr>
            </w:pPr>
            <w:r>
              <w:rPr>
                <w:rFonts w:hint="eastAsia" w:ascii="宋体" w:hAnsi="宋体" w:eastAsia="宋体" w:cs="宋体"/>
                <w:color w:val="000000"/>
                <w:kern w:val="0"/>
                <w:sz w:val="20"/>
                <w:szCs w:val="20"/>
                <w:lang w:val="en-US" w:eastAsia="zh-CN" w:bidi="ar"/>
              </w:rPr>
              <w:t>6</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6</w:t>
            </w:r>
          </w:p>
        </w:tc>
      </w:tr>
      <w:tr>
        <w:tblPrEx>
          <w:tblLayout w:type="fixed"/>
          <w:tblCellMar>
            <w:top w:w="0" w:type="dxa"/>
            <w:left w:w="0" w:type="dxa"/>
            <w:bottom w:w="0" w:type="dxa"/>
            <w:right w:w="0" w:type="dxa"/>
          </w:tblCellMar>
        </w:tblPrEx>
        <w:trPr>
          <w:trHeight w:val="90" w:hRule="atLeast"/>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939"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（二）部分公开（区分处理的，只计这一情形，不计其他情形）</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（三）不予公开</w:t>
            </w: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1.属于国家秘密</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2.其他法律行政法规禁止公开</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3.危及“三安全一稳定”</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4.保护第三方合法权益</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5.属于三类内部事务信息</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6.属于四类过程性信息</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7.属于行政执法案卷</w:t>
            </w:r>
          </w:p>
        </w:tc>
        <w:tc>
          <w:tcPr>
            <w:tcW w:w="8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8.属于行政查询事项</w:t>
            </w:r>
          </w:p>
        </w:tc>
        <w:tc>
          <w:tcPr>
            <w:tcW w:w="81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eastAsia="zh-CN"/>
              </w:rPr>
            </w:pPr>
            <w:r>
              <w:rPr>
                <w:rFonts w:hint="eastAsia" w:ascii="宋体" w:hAnsi="宋体" w:eastAsia="宋体" w:cs="宋体"/>
                <w:color w:val="000000"/>
                <w:kern w:val="0"/>
                <w:sz w:val="20"/>
                <w:szCs w:val="20"/>
                <w:lang w:val="en-US" w:eastAsia="zh-CN" w:bidi="ar"/>
              </w:rPr>
              <w:t>1</w:t>
            </w:r>
          </w:p>
        </w:tc>
        <w:tc>
          <w:tcPr>
            <w:tcW w:w="75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1</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（四）无法提供</w:t>
            </w: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1.本机关不掌握相关政府信息</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1</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1</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2.没有现成信息需要另行制作</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3.补正后申请内容仍不明确</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（五）不予处理</w:t>
            </w: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1.信访举报投诉类申请</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2.重复申请</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3.要求提供公开出版物</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4.无正当理由大量反复申请</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703"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23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5.要求行政机关确认或重新出具已获取信息</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val="en-US" w:eastAsia="zh-CN"/>
              </w:rPr>
              <w:t>0</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93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（六）其他处理</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color w:val="000000"/>
                <w:kern w:val="0"/>
                <w:sz w:val="20"/>
                <w:szCs w:val="20"/>
                <w:lang w:bidi="ar"/>
              </w:rPr>
              <w:t>4</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4</w:t>
            </w:r>
          </w:p>
        </w:tc>
      </w:tr>
      <w:tr>
        <w:tblPrEx>
          <w:tblLayout w:type="fixed"/>
          <w:tblCellMar>
            <w:top w:w="0" w:type="dxa"/>
            <w:left w:w="0" w:type="dxa"/>
            <w:bottom w:w="0" w:type="dxa"/>
            <w:right w:w="0" w:type="dxa"/>
          </w:tblCellMar>
        </w:tblPrEx>
        <w:trPr>
          <w:jc w:val="center"/>
        </w:trPr>
        <w:tc>
          <w:tcPr>
            <w:tcW w:w="61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293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楷体" w:hAnsi="楷体" w:eastAsia="楷体" w:cs="宋体"/>
                <w:kern w:val="0"/>
                <w:sz w:val="20"/>
                <w:szCs w:val="20"/>
              </w:rPr>
              <w:t>（七）总计</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color w:val="000000"/>
                <w:kern w:val="0"/>
                <w:sz w:val="20"/>
                <w:szCs w:val="20"/>
                <w:lang w:bidi="ar"/>
              </w:rPr>
              <w:t>12</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12</w:t>
            </w:r>
          </w:p>
        </w:tc>
      </w:tr>
      <w:tr>
        <w:tblPrEx>
          <w:tblLayout w:type="fixed"/>
          <w:tblCellMar>
            <w:top w:w="0" w:type="dxa"/>
            <w:left w:w="0" w:type="dxa"/>
            <w:bottom w:w="0" w:type="dxa"/>
            <w:right w:w="0" w:type="dxa"/>
          </w:tblCellMar>
        </w:tblPrEx>
        <w:trPr>
          <w:jc w:val="center"/>
        </w:trPr>
        <w:tc>
          <w:tcPr>
            <w:tcW w:w="3555"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宋体" w:hAnsi="宋体" w:eastAsia="宋体" w:cs="宋体"/>
                <w:kern w:val="0"/>
                <w:sz w:val="24"/>
                <w:szCs w:val="24"/>
              </w:rPr>
            </w:pPr>
            <w:r>
              <w:rPr>
                <w:rFonts w:hint="eastAsia" w:ascii="宋体" w:hAnsi="宋体" w:eastAsia="宋体" w:cs="宋体"/>
                <w:kern w:val="0"/>
                <w:sz w:val="20"/>
                <w:szCs w:val="20"/>
              </w:rPr>
              <w:t>四、结转下年度继续办理</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color w:val="000000"/>
                <w:kern w:val="0"/>
                <w:sz w:val="20"/>
                <w:szCs w:val="20"/>
                <w:lang w:bidi="ar"/>
              </w:rPr>
              <w:t>1</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0</w:t>
            </w:r>
          </w:p>
        </w:tc>
        <w:tc>
          <w:tcPr>
            <w:tcW w:w="69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1</w:t>
            </w:r>
          </w:p>
        </w:tc>
      </w:tr>
    </w:tbl>
    <w:p>
      <w:pPr>
        <w:widowControl/>
        <w:shd w:val="clear" w:color="auto" w:fill="FFFFFF"/>
        <w:ind w:firstLine="640" w:firstLineChars="200"/>
        <w:rPr>
          <w:rFonts w:ascii="宋体" w:hAnsi="宋体" w:eastAsia="宋体" w:cs="宋体"/>
          <w:color w:val="333333"/>
          <w:kern w:val="0"/>
          <w:sz w:val="24"/>
          <w:szCs w:val="24"/>
        </w:rPr>
      </w:pPr>
      <w:r>
        <w:rPr>
          <w:rFonts w:hint="eastAsia" w:ascii="黑体" w:hAnsi="黑体" w:eastAsia="黑体" w:cs="宋体"/>
          <w:bCs/>
          <w:color w:val="333333"/>
          <w:kern w:val="0"/>
          <w:sz w:val="32"/>
          <w:szCs w:val="32"/>
        </w:rPr>
        <w:t>四、政府信息公开行政复议、行政诉讼情况</w:t>
      </w:r>
    </w:p>
    <w:tbl>
      <w:tblPr>
        <w:tblStyle w:val="7"/>
        <w:tblW w:w="9071" w:type="dxa"/>
        <w:jc w:val="center"/>
        <w:tblInd w:w="0" w:type="dxa"/>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blPrEx>
          <w:tblLayout w:type="fixed"/>
          <w:tblCellMar>
            <w:top w:w="0" w:type="dxa"/>
            <w:left w:w="0" w:type="dxa"/>
            <w:bottom w:w="0" w:type="dxa"/>
            <w:right w:w="0" w:type="dxa"/>
          </w:tblCellMar>
        </w:tblPrEx>
        <w:trPr>
          <w:jc w:val="center"/>
        </w:trPr>
        <w:tc>
          <w:tcPr>
            <w:tcW w:w="3074"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行政复议</w:t>
            </w:r>
          </w:p>
        </w:tc>
        <w:tc>
          <w:tcPr>
            <w:tcW w:w="5997" w:type="dxa"/>
            <w:gridSpan w:val="10"/>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行政诉讼</w:t>
            </w:r>
          </w:p>
        </w:tc>
      </w:tr>
      <w:tr>
        <w:tblPrEx>
          <w:tblLayout w:type="fixed"/>
          <w:tblCellMar>
            <w:top w:w="0" w:type="dxa"/>
            <w:left w:w="0" w:type="dxa"/>
            <w:bottom w:w="0" w:type="dxa"/>
            <w:right w:w="0" w:type="dxa"/>
          </w:tblCellMar>
        </w:tblPrEx>
        <w:trPr>
          <w:jc w:val="center"/>
        </w:trPr>
        <w:tc>
          <w:tcPr>
            <w:tcW w:w="60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结果维持</w:t>
            </w:r>
          </w:p>
        </w:tc>
        <w:tc>
          <w:tcPr>
            <w:tcW w:w="604"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结果纠正</w:t>
            </w:r>
          </w:p>
        </w:tc>
        <w:tc>
          <w:tcPr>
            <w:tcW w:w="6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其他结果</w:t>
            </w:r>
          </w:p>
        </w:tc>
        <w:tc>
          <w:tcPr>
            <w:tcW w:w="6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尚未审结</w:t>
            </w:r>
          </w:p>
        </w:tc>
        <w:tc>
          <w:tcPr>
            <w:tcW w:w="658"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总计</w:t>
            </w:r>
          </w:p>
        </w:tc>
        <w:tc>
          <w:tcPr>
            <w:tcW w:w="2970"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未经复议直接起诉</w:t>
            </w:r>
          </w:p>
        </w:tc>
        <w:tc>
          <w:tcPr>
            <w:tcW w:w="3027"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复议后起诉</w:t>
            </w:r>
          </w:p>
        </w:tc>
      </w:tr>
      <w:tr>
        <w:tblPrEx>
          <w:tblLayout w:type="fixed"/>
          <w:tblCellMar>
            <w:top w:w="0" w:type="dxa"/>
            <w:left w:w="0" w:type="dxa"/>
            <w:bottom w:w="0" w:type="dxa"/>
            <w:right w:w="0" w:type="dxa"/>
          </w:tblCellMar>
        </w:tblPrEx>
        <w:trPr>
          <w:jc w:val="center"/>
        </w:trPr>
        <w:tc>
          <w:tcPr>
            <w:tcW w:w="604"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604"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604"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604"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658"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eastAsia="宋体" w:cs="宋体"/>
                <w:kern w:val="0"/>
                <w:sz w:val="24"/>
                <w:szCs w:val="24"/>
              </w:rPr>
            </w:pPr>
          </w:p>
        </w:tc>
        <w:tc>
          <w:tcPr>
            <w:tcW w:w="55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结果维持</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结果纠正</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其他结果</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尚未审结</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总计</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结果维持</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结果纠正</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其他结果</w:t>
            </w:r>
          </w:p>
        </w:tc>
        <w:tc>
          <w:tcPr>
            <w:tcW w:w="6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0"/>
                <w:szCs w:val="20"/>
              </w:rPr>
              <w:t>尚未审结</w:t>
            </w:r>
          </w:p>
        </w:tc>
        <w:tc>
          <w:tcPr>
            <w:tcW w:w="6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kern w:val="0"/>
                <w:sz w:val="24"/>
                <w:szCs w:val="24"/>
              </w:rPr>
            </w:pPr>
            <w:r>
              <w:rPr>
                <w:rFonts w:hint="eastAsia" w:ascii="宋体" w:hAnsi="宋体" w:eastAsia="宋体" w:cs="宋体"/>
                <w:color w:val="000000"/>
                <w:kern w:val="0"/>
                <w:sz w:val="20"/>
                <w:szCs w:val="20"/>
              </w:rPr>
              <w:t>总计</w:t>
            </w:r>
          </w:p>
        </w:tc>
      </w:tr>
      <w:tr>
        <w:tblPrEx>
          <w:tblLayout w:type="fixed"/>
          <w:tblCellMar>
            <w:top w:w="0" w:type="dxa"/>
            <w:left w:w="0" w:type="dxa"/>
            <w:bottom w:w="0" w:type="dxa"/>
            <w:right w:w="0" w:type="dxa"/>
          </w:tblCellMar>
        </w:tblPrEx>
        <w:trPr>
          <w:trHeight w:val="887" w:hRule="atLeast"/>
          <w:jc w:val="center"/>
        </w:trPr>
        <w:tc>
          <w:tcPr>
            <w:tcW w:w="60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5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rPr>
              <w:t>0</w:t>
            </w:r>
          </w:p>
        </w:tc>
        <w:tc>
          <w:tcPr>
            <w:tcW w:w="550"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6"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60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textAlignment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r>
    </w:tbl>
    <w:p>
      <w:pPr>
        <w:widowControl/>
        <w:shd w:val="clear" w:color="auto" w:fill="FFFFFF"/>
        <w:spacing w:line="360" w:lineRule="auto"/>
        <w:ind w:firstLine="640" w:firstLineChars="200"/>
        <w:rPr>
          <w:rFonts w:ascii="黑体" w:hAnsi="黑体" w:eastAsia="黑体" w:cs="宋体"/>
          <w:color w:val="333333"/>
          <w:kern w:val="0"/>
          <w:sz w:val="32"/>
          <w:szCs w:val="32"/>
        </w:rPr>
      </w:pPr>
      <w:r>
        <w:rPr>
          <w:rFonts w:hint="eastAsia" w:ascii="黑体" w:hAnsi="黑体" w:eastAsia="黑体" w:cs="宋体"/>
          <w:bCs/>
          <w:color w:val="333333"/>
          <w:kern w:val="0"/>
          <w:sz w:val="32"/>
          <w:szCs w:val="32"/>
        </w:rPr>
        <w:t>五、存在的主要问题及改进情况</w:t>
      </w:r>
    </w:p>
    <w:p>
      <w:pPr>
        <w:widowControl/>
        <w:shd w:val="clear" w:color="auto" w:fill="FFFFFF"/>
        <w:spacing w:line="360" w:lineRule="auto"/>
        <w:ind w:firstLine="480"/>
        <w:rPr>
          <w:rFonts w:hint="eastAsia"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（一）存在的不足</w:t>
      </w:r>
    </w:p>
    <w:p>
      <w:pPr>
        <w:widowControl/>
        <w:shd w:val="clear" w:color="auto" w:fill="FFFFFF"/>
        <w:spacing w:line="360" w:lineRule="auto"/>
        <w:ind w:firstLine="480"/>
        <w:rPr>
          <w:rFonts w:ascii="仿宋_GB2312" w:hAnsi="仿宋_GB2312" w:eastAsia="仿宋_GB2312" w:cs="仿宋_GB2312"/>
          <w:sz w:val="32"/>
          <w:szCs w:val="32"/>
          <w:shd w:val="clear" w:color="auto" w:fill="FFFFFF"/>
        </w:rPr>
      </w:pPr>
      <w:r>
        <w:rPr>
          <w:rFonts w:hint="eastAsia" w:ascii="仿宋_GB2312" w:hAnsi="宋体" w:eastAsia="仿宋_GB2312" w:cs="宋体"/>
          <w:kern w:val="0"/>
          <w:sz w:val="32"/>
          <w:szCs w:val="32"/>
        </w:rPr>
        <w:t>一是对修订后的《中华人民共和国政府信息公开条例》的理解和适用需要进一步加强学习。二是信息公开工作专兼职干部队伍需要进一步加强，业务素质需进一步提升。</w:t>
      </w:r>
      <w:r>
        <w:rPr>
          <w:rFonts w:hint="eastAsia" w:ascii="仿宋_GB2312" w:hAnsi="仿宋_GB2312" w:eastAsia="仿宋_GB2312" w:cs="仿宋_GB2312"/>
          <w:sz w:val="32"/>
          <w:szCs w:val="32"/>
          <w:shd w:val="clear" w:color="auto" w:fill="FFFFFF"/>
        </w:rPr>
        <w:t> </w:t>
      </w:r>
    </w:p>
    <w:p>
      <w:pPr>
        <w:widowControl/>
        <w:numPr>
          <w:ilvl w:val="0"/>
          <w:numId w:val="1"/>
        </w:numPr>
        <w:shd w:val="clear" w:color="auto" w:fill="FFFFFF"/>
        <w:spacing w:line="360" w:lineRule="auto"/>
        <w:ind w:firstLine="480"/>
        <w:rPr>
          <w:rFonts w:hint="eastAsia"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改进措施</w:t>
      </w:r>
    </w:p>
    <w:p>
      <w:pPr>
        <w:widowControl/>
        <w:numPr>
          <w:ilvl w:val="0"/>
          <w:numId w:val="0"/>
        </w:numPr>
        <w:shd w:val="clear" w:color="auto" w:fill="FFFFFF"/>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一是加大工作力度。坚持以人民为中心的发展思想，努力回应群众需求，进一步发挥各类信息公开平台作用，切实保障群众的知情权。二是加强调研和业务培训。围绕群众关切的问题，强化分析研判，通过典型案例剖析，进一步提升政府信息公开工作的能力和水平。</w:t>
      </w:r>
      <w:r>
        <w:rPr>
          <w:rFonts w:hint="eastAsia" w:ascii="仿宋_GB2312" w:hAnsi="仿宋_GB2312" w:eastAsia="仿宋_GB2312" w:cs="仿宋_GB2312"/>
          <w:sz w:val="32"/>
          <w:szCs w:val="32"/>
        </w:rPr>
        <w:t xml:space="preserve">      </w:t>
      </w:r>
    </w:p>
    <w:p>
      <w:pPr>
        <w:widowControl/>
        <w:shd w:val="clear" w:color="auto" w:fill="FFFFFF"/>
        <w:spacing w:line="360" w:lineRule="auto"/>
        <w:ind w:firstLine="480"/>
        <w:rPr>
          <w:rFonts w:ascii="黑体" w:hAnsi="黑体" w:eastAsia="黑体" w:cs="宋体"/>
          <w:color w:val="333333"/>
          <w:kern w:val="0"/>
          <w:sz w:val="32"/>
          <w:szCs w:val="32"/>
        </w:rPr>
      </w:pPr>
      <w:r>
        <w:rPr>
          <w:rFonts w:hint="eastAsia" w:ascii="黑体" w:hAnsi="黑体" w:eastAsia="黑体" w:cs="宋体"/>
          <w:bCs/>
          <w:color w:val="333333"/>
          <w:kern w:val="0"/>
          <w:sz w:val="32"/>
          <w:szCs w:val="32"/>
        </w:rPr>
        <w:t>六、其他需要报告的事项</w:t>
      </w:r>
    </w:p>
    <w:p>
      <w:pPr>
        <w:widowControl/>
        <w:shd w:val="clear" w:color="auto" w:fill="FFFFFF"/>
        <w:spacing w:line="360" w:lineRule="auto"/>
        <w:ind w:firstLine="480"/>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北京市公安局门户网站（“北京市公安局”）网址为</w:t>
      </w:r>
      <w:r>
        <w:rPr>
          <w:rFonts w:hint="eastAsia" w:ascii="仿宋_GB2312" w:hAnsi="仿宋_GB2312" w:eastAsia="仿宋_GB2312" w:cs="仿宋_GB2312"/>
          <w:color w:val="auto"/>
          <w:sz w:val="32"/>
          <w:szCs w:val="32"/>
          <w:u w:val="none"/>
        </w:rPr>
        <w:fldChar w:fldCharType="begin"/>
      </w:r>
      <w:r>
        <w:rPr>
          <w:rFonts w:hint="eastAsia" w:ascii="仿宋_GB2312" w:hAnsi="仿宋_GB2312" w:eastAsia="仿宋_GB2312" w:cs="仿宋_GB2312"/>
          <w:color w:val="auto"/>
          <w:sz w:val="32"/>
          <w:szCs w:val="32"/>
          <w:u w:val="none"/>
        </w:rPr>
        <w:instrText xml:space="preserve"> HYPERLINK "http://www.gaj.beijing.gov.cn/" </w:instrText>
      </w:r>
      <w:r>
        <w:rPr>
          <w:rFonts w:hint="eastAsia" w:ascii="仿宋_GB2312" w:hAnsi="仿宋_GB2312" w:eastAsia="仿宋_GB2312" w:cs="仿宋_GB2312"/>
          <w:color w:val="auto"/>
          <w:sz w:val="32"/>
          <w:szCs w:val="32"/>
          <w:u w:val="none"/>
        </w:rPr>
        <w:fldChar w:fldCharType="separate"/>
      </w:r>
      <w:r>
        <w:rPr>
          <w:rStyle w:val="6"/>
          <w:rFonts w:hint="eastAsia" w:ascii="仿宋_GB2312" w:hAnsi="仿宋_GB2312" w:eastAsia="仿宋_GB2312" w:cs="仿宋_GB2312"/>
          <w:color w:val="auto"/>
          <w:kern w:val="0"/>
          <w:sz w:val="32"/>
          <w:szCs w:val="32"/>
          <w:u w:val="none"/>
        </w:rPr>
        <w:t>http://gaj.beijing.gov.cn/</w:t>
      </w:r>
      <w:r>
        <w:rPr>
          <w:rStyle w:val="6"/>
          <w:rFonts w:hint="eastAsia" w:ascii="仿宋_GB2312" w:hAnsi="仿宋_GB2312" w:eastAsia="仿宋_GB2312" w:cs="仿宋_GB2312"/>
          <w:color w:val="auto"/>
          <w:kern w:val="0"/>
          <w:sz w:val="32"/>
          <w:szCs w:val="32"/>
          <w:u w:val="none"/>
        </w:rPr>
        <w:fldChar w:fldCharType="end"/>
      </w:r>
      <w:r>
        <w:rPr>
          <w:rFonts w:hint="eastAsia" w:ascii="仿宋_GB2312" w:hAnsi="仿宋_GB2312" w:eastAsia="仿宋_GB2312" w:cs="仿宋_GB2312"/>
          <w:color w:val="auto"/>
          <w:kern w:val="0"/>
          <w:sz w:val="32"/>
          <w:szCs w:val="32"/>
          <w:u w:val="none"/>
        </w:rPr>
        <w:t>，如需了解更多政府信息，请登录查询。</w:t>
      </w:r>
    </w:p>
    <w:p>
      <w:pPr>
        <w:widowControl/>
        <w:shd w:val="clear" w:color="auto" w:fill="FFFFFF"/>
        <w:spacing w:line="360" w:lineRule="auto"/>
        <w:ind w:firstLine="480"/>
        <w:rPr>
          <w:rFonts w:ascii="仿宋_GB2312" w:hAnsi="宋体" w:eastAsia="仿宋_GB2312" w:cs="宋体"/>
          <w:color w:val="333333"/>
          <w:kern w:val="0"/>
          <w:sz w:val="32"/>
          <w:szCs w:val="32"/>
        </w:rPr>
      </w:pPr>
    </w:p>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145E2"/>
    <w:multiLevelType w:val="singleLevel"/>
    <w:tmpl w:val="600145E2"/>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648B0"/>
    <w:rsid w:val="000C547D"/>
    <w:rsid w:val="0045768F"/>
    <w:rsid w:val="004B63CB"/>
    <w:rsid w:val="00525CD9"/>
    <w:rsid w:val="005F457D"/>
    <w:rsid w:val="006E58A9"/>
    <w:rsid w:val="0089369F"/>
    <w:rsid w:val="00A938A3"/>
    <w:rsid w:val="00AA7BA4"/>
    <w:rsid w:val="00C8548B"/>
    <w:rsid w:val="00D55F01"/>
    <w:rsid w:val="00D648B0"/>
    <w:rsid w:val="00D8240C"/>
    <w:rsid w:val="00DF56ED"/>
    <w:rsid w:val="00E259E5"/>
    <w:rsid w:val="00E26E28"/>
    <w:rsid w:val="00E955D4"/>
    <w:rsid w:val="00FE0206"/>
    <w:rsid w:val="0634251B"/>
    <w:rsid w:val="07F71173"/>
    <w:rsid w:val="101C3A78"/>
    <w:rsid w:val="28682A93"/>
    <w:rsid w:val="40E2316D"/>
    <w:rsid w:val="485A0B7B"/>
    <w:rsid w:val="5B1153C6"/>
    <w:rsid w:val="73626F5F"/>
    <w:rsid w:val="752455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qFormat/>
    <w:uiPriority w:val="99"/>
    <w:rPr>
      <w:color w:val="0563C1" w:themeColor="hyperlink"/>
      <w:u w:val="single"/>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4</Pages>
  <Words>288</Words>
  <Characters>1644</Characters>
  <Lines>13</Lines>
  <Paragraphs>3</Paragraphs>
  <ScaleCrop>false</ScaleCrop>
  <LinksUpToDate>false</LinksUpToDate>
  <CharactersWithSpaces>1929</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2020-01-03T01:03:00Z</dcterms:created>
  <dc:creator>wangpeng</dc:creator>
  <cp:lastModifiedBy>szj</cp:lastModifiedBy>
  <cp:lastPrinted>2021-01-18T09:24:24Z</cp:lastPrinted>
  <dcterms:modified xsi:type="dcterms:W3CDTF">2021-01-18T09:25:19Z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