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北京市公安局西城分局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2020年政府信息公开工作年度报告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9"/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</w:pPr>
      <w:r>
        <w:rPr>
          <w:rFonts w:hint="eastAsia" w:ascii="微软雅黑" w:hAnsi="微软雅黑" w:eastAsia="微软雅黑" w:cs="宋体"/>
          <w:color w:val="404040"/>
          <w:kern w:val="0"/>
          <w:sz w:val="24"/>
        </w:rPr>
        <w:t>　</w:t>
      </w:r>
      <w:r>
        <w:rPr>
          <w:rFonts w:hint="eastAsia" w:ascii="微软雅黑" w:hAnsi="微软雅黑" w:eastAsia="微软雅黑" w:cs="宋体"/>
          <w:color w:val="404040"/>
          <w:kern w:val="0"/>
          <w:sz w:val="32"/>
          <w:szCs w:val="32"/>
        </w:rPr>
        <w:t xml:space="preserve"> </w:t>
      </w:r>
      <w:r>
        <w:rPr>
          <w:rFonts w:ascii="微软雅黑" w:hAnsi="微软雅黑" w:eastAsia="微软雅黑" w:cs="宋体"/>
          <w:color w:val="40404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</w:rPr>
        <w:t>依据《中华人民共和国政府信息公开条例》(以下简称《政府信息公开条例》)第五十条规定，编制本报告。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2" w:firstLineChars="200"/>
        <w:jc w:val="left"/>
        <w:textAlignment w:val="auto"/>
        <w:outlineLvl w:val="9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一、总体情况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2" w:firstLineChars="200"/>
        <w:textAlignment w:val="auto"/>
        <w:outlineLvl w:val="9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2020年，我分局认真贯彻新修订的《中华人民共和国政府信息公开条例》（以下简称《条例》），按照公安部、市局的部署要求，坚持“以公开为常态、不公开为例外”原则，紧紧围绕经济社会发展和群众关注关切，加大公开力度，增强公开时效，规范平台建设，公安机关执法公信力不断提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5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8"/>
          <w:kern w:val="0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组织领导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根据市局政府信息工作的统一部署和要求，我局把政府信息公开工作列入了重要议事日程，在分局党委的坚强领导下，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强化组织保障，确定一名副局长主管信息公开工作，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以让人民由更多、更直接更是在的获得感为目标，不断完善制度机制、加强平台建设，努力提高信息发布和回应关切等方面的公开质量，全局政府信息公开工作呈现稳步推进、健康发展的良好态势。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主动公开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围绕今年疫情重点工作，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我分局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《法制日报》、《北京日报》、《北京晚报》、《北京青年报》等权威媒体发布反映民警严密疫情防控工作、无私奉献、坚守岗位感人事迹6篇，并通过自媒体刊发先关新闻稿件20余篇。国庆安保宣传，提前与媒体进行沟通，制定宣传计划，撰写新闻稿件，策划了节前开展社会面清整、节日期间严密大栅栏地区防控工作、节日期间民警坚守岗位服务群众等主题分3个波次的宣传工作，相关报道被中央电视台、北京电视台、《北京日报》、《北京青年报》、《腾讯新闻》等媒体刊发，实现了电视、报纸、网络、自媒体全方位宣传的良好效果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依申请公开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，我分局共办理依申请政府信息公开551件，同比去年减少6件，下降1%。其中“同意公开”、“同意部分公开”9件，占总数1.6%；“不予公开”9件，占总数的1.6%（主要涉及内部事务信息、行政执法案卷信息）；“信息不存在”132件，占总数的24%；“非本机关掌握”7件，占总数的1.3%；“申请内容不明确”87件，占总数的15.7%；”“非政府信息”89件，占总数的16.2%；“答复告知书”218件，占总数的39.6%.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（四）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政府信息管理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建立专门的依申请政府信息公开受理点，由法制部门规范信息公开各项工作；规范公文发布流程，严格执行公文制作发布审核制度，并要求各单位在发文拟稿中做好属性审查，明确公文属性属于主动公开、依申请公开或不予公开类别，确保公文日常管理规范；严格保密审查，坚持“先审查、后公开”制度，对信息内容的准确性、时效性、保密性进一步明确，完善保密审查工作机制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（五）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平台建设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我局积极拓宽渠道、积极搭建信息平台，丰富载体，完善内容，积极利用多种新媒体形式以青年人喜闻乐见的方式，传播公安正能量，弘扬时代主旋律，西城警讯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“双微”公众号平台发布311条，微信131条、微博180条，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红墙卫士微信公众号发布文章累计200余篇、西西警长抖音发布战“疫”题材40余个，点赞、转发、评论和浏览300余万，对公安工作进行宣传、信息公开、网上服务及警民互动。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（六）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教育培训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积极参与市局、区政府组织的各项政府信息教育培训工作，定期组织全局学习深入《信息公开条例》，强化对相关业务人员的培训指导，开展业务学习，组织专题培训，使全体民警熟悉政府信息公开的内容、范围和操作规程，切实增强法治意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、保密意识和公开意识。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（七）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监督保障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局信息公开工作严格按照《北京市公安局政府信息公开保密审查实施细则》开展，按照政府信息公开条例和保密法律法规的规定，建立健全政府信息公开保密工作责任制，设立专门的政府信息公开监督员，对网站系统后台登陆的口令实行严格控制和管理，严格遵循“先审查、后发布，谁公开、谁负责”的原则，加大对拟公开的政府信息的保密审查力度，确保做到公开不涉密，涉密不公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主动公开政府信息情况</w:t>
      </w:r>
    </w:p>
    <w:tbl>
      <w:tblPr>
        <w:tblStyle w:val="5"/>
        <w:tblW w:w="918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230"/>
        <w:gridCol w:w="2175"/>
        <w:gridCol w:w="1887"/>
        <w:gridCol w:w="23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本年新制作数量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本年新公开数量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规章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规范性文件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上一年项目数量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本年增/减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3636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-1746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2234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其他对外管理服务事项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行政</w:t>
            </w:r>
            <w:r>
              <w:t>检查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7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行政</w:t>
            </w:r>
            <w:r>
              <w:t>确认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上一年项目数量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本年增/减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行政处罚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660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-49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行政强制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2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620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2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000000" w:sz="8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上一年项目数量</w:t>
            </w:r>
          </w:p>
        </w:tc>
        <w:tc>
          <w:tcPr>
            <w:tcW w:w="4205" w:type="dxa"/>
            <w:gridSpan w:val="2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行政事业性收费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4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5B9BD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信息内容</w:t>
            </w:r>
          </w:p>
        </w:tc>
        <w:tc>
          <w:tcPr>
            <w:tcW w:w="21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采购项目数量</w:t>
            </w:r>
          </w:p>
        </w:tc>
        <w:tc>
          <w:tcPr>
            <w:tcW w:w="4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BDD6E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采购总金额（万元，保留四位小数）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9CC2E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</w:rPr>
              <w:t>政府集中采购</w:t>
            </w:r>
          </w:p>
        </w:tc>
        <w:tc>
          <w:tcPr>
            <w:tcW w:w="2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87</w:t>
            </w:r>
          </w:p>
        </w:tc>
        <w:tc>
          <w:tcPr>
            <w:tcW w:w="42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9565.9905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三、收到和处理政府信息公开申请情况</w:t>
      </w:r>
    </w:p>
    <w:tbl>
      <w:tblPr>
        <w:tblStyle w:val="5"/>
        <w:tblW w:w="92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856"/>
        <w:gridCol w:w="2957"/>
        <w:gridCol w:w="709"/>
        <w:gridCol w:w="709"/>
        <w:gridCol w:w="709"/>
        <w:gridCol w:w="825"/>
        <w:gridCol w:w="859"/>
        <w:gridCol w:w="627"/>
        <w:gridCol w:w="6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7" w:hRule="atLeast"/>
          <w:jc w:val="center"/>
        </w:trPr>
        <w:tc>
          <w:tcPr>
            <w:tcW w:w="4212" w:type="dxa"/>
            <w:gridSpan w:val="3"/>
            <w:vMerge w:val="restart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>（本列数据的勾稽关系为：第一项加第二项之和，等于第三项加第四项之和）</w:t>
            </w:r>
          </w:p>
        </w:tc>
        <w:tc>
          <w:tcPr>
            <w:tcW w:w="5056" w:type="dxa"/>
            <w:gridSpan w:val="7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申请人情况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5" w:hRule="atLeast"/>
          <w:jc w:val="center"/>
        </w:trPr>
        <w:tc>
          <w:tcPr>
            <w:tcW w:w="4212" w:type="dxa"/>
            <w:gridSpan w:val="3"/>
            <w:vMerge w:val="continue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709" w:type="dxa"/>
            <w:vMerge w:val="restart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自然人</w:t>
            </w:r>
          </w:p>
        </w:tc>
        <w:tc>
          <w:tcPr>
            <w:tcW w:w="3729" w:type="dxa"/>
            <w:gridSpan w:val="5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法人或其他组织</w:t>
            </w:r>
          </w:p>
        </w:tc>
        <w:tc>
          <w:tcPr>
            <w:tcW w:w="618" w:type="dxa"/>
            <w:vMerge w:val="restart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vMerge w:val="continue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709" w:type="dxa"/>
            <w:vMerge w:val="continue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709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商业企业</w:t>
            </w:r>
          </w:p>
        </w:tc>
        <w:tc>
          <w:tcPr>
            <w:tcW w:w="709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科研机构</w:t>
            </w:r>
          </w:p>
        </w:tc>
        <w:tc>
          <w:tcPr>
            <w:tcW w:w="825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社会公益组织</w:t>
            </w:r>
          </w:p>
        </w:tc>
        <w:tc>
          <w:tcPr>
            <w:tcW w:w="859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法律服务机构</w:t>
            </w:r>
          </w:p>
        </w:tc>
        <w:tc>
          <w:tcPr>
            <w:tcW w:w="627" w:type="dxa"/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其他</w:t>
            </w:r>
          </w:p>
        </w:tc>
        <w:tc>
          <w:tcPr>
            <w:tcW w:w="61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>一、本年新收政府信息公开申请数量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547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>二、上年结转政府信息公开申请数量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restart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>三、本年度办理结果</w:t>
            </w: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（一）予以公开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（二）部分公开（区分处理的，只计这一情形，不计其他情形）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restart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（三）不予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公开</w:t>
            </w: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1.属于国家秘密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2.其他法律行政法规禁止公开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3.危及“三安全一稳定”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4.保护第三方合法权益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5.属于三类内部事务信息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6.属于四类过程性信息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7.属于行政执法案卷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8.属于行政查询事项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restart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（四）无法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提供</w:t>
            </w: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1.本机关不掌握相关政府信息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2.没有现成信息需要另行制作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3.补正后申请内容仍不明确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restart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（五）不予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处理</w:t>
            </w: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1.信访举报投诉类申请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2.重复申请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3.要求提供公开出版物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4.无正当理由大量反复申请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856" w:type="dxa"/>
            <w:vMerge w:val="continue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</w:p>
        </w:tc>
        <w:tc>
          <w:tcPr>
            <w:tcW w:w="2957" w:type="dxa"/>
            <w:shd w:val="clear" w:color="auto" w:fill="DEEAF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5.要求行政机关确认或重新出具已获取信息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（六）其他处理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526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399" w:type="dxa"/>
            <w:vMerge w:val="continue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3813" w:type="dxa"/>
            <w:gridSpan w:val="2"/>
            <w:shd w:val="clear" w:color="auto" w:fill="BDD6E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  <w:rPr>
                <w:rFonts w:hint="eastAsia" w:ascii="楷体_GB2312" w:eastAsia="楷体_GB2312"/>
              </w:rPr>
            </w:pPr>
            <w:r>
              <w:rPr>
                <w:rFonts w:hint="eastAsia" w:ascii="楷体_GB2312" w:eastAsia="楷体_GB2312"/>
              </w:rPr>
              <w:t>（七）总计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549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4212" w:type="dxa"/>
            <w:gridSpan w:val="3"/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textAlignment w:val="auto"/>
              <w:outlineLvl w:val="9"/>
            </w:pPr>
            <w:r>
              <w:rPr>
                <w:rFonts w:hint="eastAsia"/>
              </w:rPr>
              <w:t>四、结转下年度继续办理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7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四、政府信息公开行政复议、行政诉讼情况</w:t>
      </w:r>
    </w:p>
    <w:tbl>
      <w:tblPr>
        <w:tblStyle w:val="5"/>
        <w:tblW w:w="92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4"/>
        <w:gridCol w:w="574"/>
        <w:gridCol w:w="574"/>
        <w:gridCol w:w="574"/>
        <w:gridCol w:w="578"/>
        <w:gridCol w:w="628"/>
        <w:gridCol w:w="628"/>
        <w:gridCol w:w="628"/>
        <w:gridCol w:w="628"/>
        <w:gridCol w:w="628"/>
        <w:gridCol w:w="628"/>
        <w:gridCol w:w="628"/>
        <w:gridCol w:w="628"/>
        <w:gridCol w:w="628"/>
        <w:gridCol w:w="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  <w:jc w:val="center"/>
        </w:trPr>
        <w:tc>
          <w:tcPr>
            <w:tcW w:w="2874" w:type="dxa"/>
            <w:gridSpan w:val="5"/>
            <w:tcBorders>
              <w:bottom w:val="single" w:color="auto" w:sz="4" w:space="0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行政复议</w:t>
            </w:r>
          </w:p>
        </w:tc>
        <w:tc>
          <w:tcPr>
            <w:tcW w:w="6333" w:type="dxa"/>
            <w:gridSpan w:val="10"/>
            <w:tcBorders>
              <w:bottom w:val="single" w:color="auto" w:sz="4" w:space="0"/>
            </w:tcBorders>
            <w:shd w:val="clear" w:color="auto" w:fill="5B9B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行政诉讼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  <w:jc w:val="center"/>
        </w:trPr>
        <w:tc>
          <w:tcPr>
            <w:tcW w:w="574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持</w:t>
            </w:r>
          </w:p>
        </w:tc>
        <w:tc>
          <w:tcPr>
            <w:tcW w:w="574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结果纠正</w:t>
            </w:r>
          </w:p>
        </w:tc>
        <w:tc>
          <w:tcPr>
            <w:tcW w:w="574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其他结果</w:t>
            </w:r>
          </w:p>
        </w:tc>
        <w:tc>
          <w:tcPr>
            <w:tcW w:w="574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尚未审结</w:t>
            </w:r>
          </w:p>
        </w:tc>
        <w:tc>
          <w:tcPr>
            <w:tcW w:w="578" w:type="dxa"/>
            <w:vMerge w:val="restart"/>
            <w:tcBorders>
              <w:top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 计</w:t>
            </w:r>
          </w:p>
        </w:tc>
        <w:tc>
          <w:tcPr>
            <w:tcW w:w="3140" w:type="dxa"/>
            <w:gridSpan w:val="5"/>
            <w:tcBorders>
              <w:top w:val="single" w:color="auto" w:sz="4" w:space="0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未经复议直接起诉</w:t>
            </w:r>
          </w:p>
        </w:tc>
        <w:tc>
          <w:tcPr>
            <w:tcW w:w="3193" w:type="dxa"/>
            <w:gridSpan w:val="5"/>
            <w:tcBorders>
              <w:top w:val="single" w:color="auto" w:sz="4" w:space="0"/>
            </w:tcBorders>
            <w:shd w:val="clear" w:color="auto" w:fill="9CC2E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复议后起诉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57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57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57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574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578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/>
              </w:rPr>
            </w:pP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结果维持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结果纠正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其他结果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尚未审结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总计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结果维持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结果纠正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其他结果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尚未审结</w:t>
            </w:r>
          </w:p>
        </w:tc>
        <w:tc>
          <w:tcPr>
            <w:tcW w:w="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</w:pPr>
            <w:r>
              <w:rPr>
                <w:rFonts w:hint="eastAsia"/>
              </w:rPr>
              <w:t>总计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4" w:hRule="atLeast"/>
          <w:jc w:val="center"/>
        </w:trPr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5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68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2" w:firstLineChars="200"/>
        <w:jc w:val="left"/>
        <w:textAlignment w:val="auto"/>
        <w:outlineLvl w:val="9"/>
        <w:rPr>
          <w:rFonts w:ascii="宋体" w:hAnsi="宋体" w:cs="宋体"/>
          <w:spacing w:val="8"/>
          <w:kern w:val="0"/>
          <w:sz w:val="24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五、存在的主要问题及改进情况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5"/>
        <w:jc w:val="left"/>
        <w:textAlignment w:val="auto"/>
        <w:outlineLvl w:val="9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2020年，我局政府信息公开工作有序开展，取得了良好效果。在主动公开方面，认真梳理主动公开的政府信息，及时对外公布公安工作重要信息，依法保障群众知情权；依申请公开方面，依法依规做好答复工作。但我们也清醒的认识到，我局政府信息公开工作还存在着一些问题：一是政府信息公开的广度、深度还需进一步拓展，信息公开的及时性有待提高。二是公众对政府信息公开的了解不够，公开的信息内容有待完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5"/>
        <w:jc w:val="left"/>
        <w:textAlignment w:val="auto"/>
        <w:outlineLvl w:val="9"/>
        <w:rPr>
          <w:rFonts w:hint="default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为进一步提升我局创新能力，深入开展政府信息公开工作，着力从以下几个方面入手：一是进一步做好政府信息主动公开工作，对属于主动公开范围的政府信息，充分利用微博、微信以及新闻媒体等多种形式，做到按要求并及时公开；二是加强培训和宣传工作，正确引导社会公众正确行使知情权，为政府信息公开营造良好的社会氛围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5"/>
        <w:jc w:val="left"/>
        <w:textAlignment w:val="auto"/>
        <w:outlineLvl w:val="9"/>
        <w:rPr>
          <w:rFonts w:ascii="黑体" w:hAnsi="黑体" w:eastAsia="黑体" w:cs="宋体"/>
          <w:spacing w:val="8"/>
          <w:kern w:val="0"/>
          <w:sz w:val="32"/>
          <w:szCs w:val="32"/>
        </w:rPr>
      </w:pPr>
      <w:r>
        <w:rPr>
          <w:rFonts w:ascii="黑体" w:hAnsi="黑体" w:eastAsia="黑体" w:cs="宋体"/>
          <w:spacing w:val="8"/>
          <w:kern w:val="0"/>
          <w:sz w:val="32"/>
          <w:szCs w:val="32"/>
        </w:rPr>
        <w:t>其他需要报告的事项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5"/>
        <w:jc w:val="left"/>
        <w:textAlignment w:val="auto"/>
        <w:outlineLvl w:val="9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按照市局统一部署，我局集中在故宫北部区域开展的持续清理整治工作，编写新闻通稿，在《北京日报》、《北京晚报》、《北京青年报》网络客户端等媒体刊发报道，反映了分局确保该地区治安秩序持续相好的有效举措，受到了市局领导的高度肯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75"/>
        <w:jc w:val="left"/>
        <w:textAlignment w:val="auto"/>
        <w:outlineLvl w:val="9"/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8"/>
          <w:kern w:val="0"/>
          <w:sz w:val="32"/>
          <w:szCs w:val="32"/>
          <w:lang w:val="en-US" w:eastAsia="zh-CN"/>
        </w:rPr>
        <w:t>在应对突发事件工作中，共对外发布情况通报口径6篇，及时公布事件情况，澄清事件真相，回应群众关注，确保了事件处置过程中社会舆论环境平稳。</w:t>
      </w:r>
    </w:p>
    <w:p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tabs>
          <w:tab w:val="left" w:pos="77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1039" w:leftChars="-495" w:right="0" w:rightChars="0" w:firstLine="0" w:firstLineChars="0"/>
        <w:textAlignment w:val="auto"/>
        <w:outlineLvl w:val="9"/>
        <w:rPr>
          <w:rFonts w:hint="eastAsia" w:eastAsia="宋体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7D8ED"/>
    <w:multiLevelType w:val="singleLevel"/>
    <w:tmpl w:val="5697D8E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6638E"/>
    <w:rsid w:val="081A404F"/>
    <w:rsid w:val="0A832067"/>
    <w:rsid w:val="0DEA0CC4"/>
    <w:rsid w:val="188E1C2C"/>
    <w:rsid w:val="1ED650A9"/>
    <w:rsid w:val="44E941B2"/>
    <w:rsid w:val="4906638E"/>
    <w:rsid w:val="4AB1590F"/>
    <w:rsid w:val="57635586"/>
    <w:rsid w:val="5BA100CA"/>
    <w:rsid w:val="5F041FCB"/>
    <w:rsid w:val="7CAF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2021-01-06T02:34:00Z</dcterms:created>
  <dc:creator>张茜婷</dc:creator>
  <cp:lastModifiedBy>Administrator</cp:lastModifiedBy>
  <cp:lastPrinted>2021-01-11T04:45:00Z</cp:lastPrinted>
  <dcterms:modified xsi:type="dcterms:W3CDTF">2024-02-01T07:57:37Z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