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ind w:left="0" w:leftChars="0" w:right="0" w:rightChars="0"/>
        <w:jc w:val="center"/>
        <w:textAlignment w:val="auto"/>
        <w:outlineLvl w:val="9"/>
        <w:rPr>
          <w:rFonts w:ascii="方正小标宋简体" w:hAnsi="仿宋" w:eastAsia="方正小标宋简体" w:cs="仿宋_GB2312"/>
          <w:sz w:val="44"/>
          <w:szCs w:val="44"/>
        </w:rPr>
      </w:pPr>
      <w:r>
        <w:rPr>
          <w:rFonts w:hint="eastAsia" w:ascii="方正小标宋简体" w:hAnsi="仿宋" w:eastAsia="方正小标宋简体" w:cs="仿宋_GB2312"/>
          <w:sz w:val="44"/>
          <w:szCs w:val="44"/>
        </w:rPr>
        <w:t>北京市公安局朝阳分局</w:t>
      </w:r>
    </w:p>
    <w:p>
      <w:pPr>
        <w:keepNext w:val="0"/>
        <w:keepLines w:val="0"/>
        <w:pageBreakBefore w:val="0"/>
        <w:kinsoku/>
        <w:wordWrap/>
        <w:overflowPunct/>
        <w:topLinePunct w:val="0"/>
        <w:autoSpaceDE/>
        <w:bidi w:val="0"/>
        <w:adjustRightInd/>
        <w:snapToGrid/>
        <w:spacing w:line="560" w:lineRule="exact"/>
        <w:ind w:left="0" w:leftChars="0" w:right="0" w:rightChars="0"/>
        <w:jc w:val="center"/>
        <w:textAlignment w:val="auto"/>
        <w:outlineLvl w:val="9"/>
        <w:rPr>
          <w:rFonts w:ascii="方正小标宋简体" w:hAnsi="仿宋" w:eastAsia="方正小标宋简体" w:cs="仿宋_GB2312"/>
          <w:sz w:val="44"/>
          <w:szCs w:val="44"/>
        </w:rPr>
      </w:pPr>
      <w:r>
        <w:rPr>
          <w:rFonts w:hint="eastAsia" w:ascii="方正小标宋简体" w:hAnsi="仿宋" w:eastAsia="方正小标宋简体" w:cs="仿宋_GB2312"/>
          <w:sz w:val="44"/>
          <w:szCs w:val="44"/>
        </w:rPr>
        <w:t>2020年政府信息公开工作年度报告</w:t>
      </w:r>
    </w:p>
    <w:p>
      <w:pPr>
        <w:keepNext w:val="0"/>
        <w:keepLines w:val="0"/>
        <w:pageBreakBefore w:val="0"/>
        <w:widowControl/>
        <w:shd w:val="clear" w:color="auto" w:fill="FFFFFF"/>
        <w:kinsoku/>
        <w:wordWrap/>
        <w:overflowPunct/>
        <w:topLinePunct w:val="0"/>
        <w:autoSpaceDE/>
        <w:bidi w:val="0"/>
        <w:adjustRightInd/>
        <w:snapToGrid/>
        <w:spacing w:line="560" w:lineRule="exact"/>
        <w:ind w:left="0" w:leftChars="0" w:right="0" w:rightChars="0" w:firstLine="482"/>
        <w:textAlignment w:val="auto"/>
        <w:outlineLvl w:val="9"/>
        <w:rPr>
          <w:rFonts w:ascii="仿宋_GB2312" w:hAnsi="宋体" w:eastAsia="仿宋_GB2312" w:cs="宋体"/>
          <w:color w:val="333333"/>
          <w:kern w:val="0"/>
          <w:sz w:val="32"/>
          <w:szCs w:val="32"/>
        </w:rPr>
      </w:pPr>
    </w:p>
    <w:p>
      <w:pPr>
        <w:keepNext w:val="0"/>
        <w:keepLines w:val="0"/>
        <w:pageBreakBefore w:val="0"/>
        <w:widowControl/>
        <w:shd w:val="clear" w:color="auto" w:fill="FFFFFF"/>
        <w:kinsoku/>
        <w:wordWrap/>
        <w:overflowPunct/>
        <w:topLinePunct w:val="0"/>
        <w:autoSpaceDE/>
        <w:bidi w:val="0"/>
        <w:adjustRightInd/>
        <w:snapToGrid/>
        <w:spacing w:line="560" w:lineRule="exact"/>
        <w:ind w:left="0" w:leftChars="0" w:right="0" w:rightChars="0" w:firstLine="640" w:firstLineChars="200"/>
        <w:textAlignment w:val="auto"/>
        <w:outlineLvl w:val="9"/>
        <w:rPr>
          <w:rFonts w:ascii="仿宋_GB2312" w:hAnsi="仿宋_GB2312" w:eastAsia="仿宋_GB2312" w:cs="仿宋_GB2312"/>
          <w:sz w:val="32"/>
        </w:rPr>
      </w:pPr>
      <w:r>
        <w:rPr>
          <w:rFonts w:hint="eastAsia" w:ascii="仿宋_GB2312" w:hAnsi="仿宋_GB2312" w:eastAsia="仿宋_GB2312" w:cs="仿宋_GB2312"/>
          <w:sz w:val="32"/>
        </w:rPr>
        <w:t>依据《中华人民共和国政府信息公开条例》（以下简称《政府信息公开条例》）第五十条规定，制作本报告。</w:t>
      </w:r>
    </w:p>
    <w:p>
      <w:pPr>
        <w:keepNext w:val="0"/>
        <w:keepLines w:val="0"/>
        <w:pageBreakBefore w:val="0"/>
        <w:widowControl/>
        <w:shd w:val="clear" w:color="auto" w:fill="FFFFFF"/>
        <w:kinsoku/>
        <w:wordWrap/>
        <w:overflowPunct/>
        <w:topLinePunct w:val="0"/>
        <w:autoSpaceDE/>
        <w:bidi w:val="0"/>
        <w:adjustRightInd/>
        <w:snapToGrid/>
        <w:spacing w:line="560" w:lineRule="exact"/>
        <w:ind w:right="0" w:rightChars="0" w:firstLine="640" w:firstLineChars="200"/>
        <w:textAlignment w:val="auto"/>
        <w:outlineLvl w:val="9"/>
        <w:rPr>
          <w:rFonts w:ascii="黑体" w:hAnsi="黑体" w:eastAsia="黑体" w:cs="宋体"/>
          <w:color w:val="333333"/>
          <w:kern w:val="0"/>
          <w:sz w:val="32"/>
          <w:szCs w:val="32"/>
        </w:rPr>
      </w:pPr>
      <w:r>
        <w:rPr>
          <w:rFonts w:hint="eastAsia" w:ascii="黑体" w:hAnsi="黑体" w:eastAsia="黑体" w:cs="宋体"/>
          <w:bCs/>
          <w:color w:val="333333"/>
          <w:kern w:val="0"/>
          <w:sz w:val="32"/>
          <w:szCs w:val="32"/>
        </w:rPr>
        <w:t>一、总体情况</w:t>
      </w:r>
    </w:p>
    <w:p>
      <w:pPr>
        <w:keepNext w:val="0"/>
        <w:keepLines w:val="0"/>
        <w:pageBreakBefore w:val="0"/>
        <w:kinsoku/>
        <w:wordWrap/>
        <w:overflowPunct/>
        <w:topLinePunct w:val="0"/>
        <w:autoSpaceDE/>
        <w:autoSpaceDN w:val="0"/>
        <w:bidi w:val="0"/>
        <w:adjustRightInd/>
        <w:snapToGrid/>
        <w:spacing w:line="560" w:lineRule="exact"/>
        <w:ind w:left="0" w:leftChars="0" w:right="0" w:rightChars="0" w:firstLine="640" w:firstLineChars="200"/>
        <w:jc w:val="left"/>
        <w:textAlignment w:val="auto"/>
        <w:outlineLvl w:val="9"/>
        <w:rPr>
          <w:rFonts w:ascii="仿宋_GB2312" w:hAnsi="仿宋_GB2312" w:eastAsia="仿宋_GB2312" w:cs="仿宋_GB2312"/>
          <w:sz w:val="32"/>
        </w:rPr>
      </w:pPr>
      <w:r>
        <w:rPr>
          <w:rFonts w:hint="eastAsia" w:ascii="仿宋_GB2312" w:hAnsi="仿宋_GB2312" w:eastAsia="仿宋_GB2312" w:cs="仿宋_GB2312"/>
          <w:sz w:val="32"/>
        </w:rPr>
        <w:t>2020年，北京市公安局朝阳分局以习近平新时代中国特色社会主义思想为指导，全面贯彻党的十九大和十九届二中、三中、四中、五中全会精神，严格执行</w:t>
      </w:r>
      <w:r>
        <w:rPr>
          <w:rFonts w:ascii="仿宋_GB2312" w:hAnsi="仿宋_GB2312" w:eastAsia="仿宋_GB2312" w:cs="仿宋_GB2312"/>
          <w:sz w:val="32"/>
        </w:rPr>
        <w:t>国务院、市政府</w:t>
      </w:r>
      <w:r>
        <w:rPr>
          <w:rFonts w:hint="eastAsia" w:ascii="仿宋_GB2312" w:hAnsi="仿宋_GB2312" w:eastAsia="仿宋_GB2312" w:cs="仿宋_GB2312"/>
          <w:sz w:val="32"/>
        </w:rPr>
        <w:t>的</w:t>
      </w:r>
      <w:r>
        <w:rPr>
          <w:rFonts w:ascii="仿宋_GB2312" w:hAnsi="仿宋_GB2312" w:eastAsia="仿宋_GB2312" w:cs="仿宋_GB2312"/>
          <w:sz w:val="32"/>
        </w:rPr>
        <w:t>政府信息公开工作要求</w:t>
      </w:r>
      <w:r>
        <w:rPr>
          <w:rFonts w:hint="eastAsia" w:ascii="仿宋_GB2312" w:hAnsi="仿宋_GB2312" w:eastAsia="仿宋_GB2312" w:cs="仿宋_GB2312"/>
          <w:sz w:val="32"/>
        </w:rPr>
        <w:t>，积极扩大政务主动公开范围，依法高效处理政府信息公开依申请工作，切实满足人民群众获取政府信息的合理需求。</w:t>
      </w:r>
    </w:p>
    <w:p>
      <w:pPr>
        <w:keepNext w:val="0"/>
        <w:keepLines w:val="0"/>
        <w:pageBreakBefore w:val="0"/>
        <w:widowControl/>
        <w:shd w:val="clear" w:color="auto" w:fill="FFFFFF"/>
        <w:kinsoku/>
        <w:wordWrap/>
        <w:overflowPunct/>
        <w:topLinePunct w:val="0"/>
        <w:autoSpaceDE/>
        <w:bidi w:val="0"/>
        <w:adjustRightInd/>
        <w:snapToGrid/>
        <w:spacing w:line="560" w:lineRule="exact"/>
        <w:ind w:right="0" w:rightChars="0" w:firstLine="640" w:firstLineChars="200"/>
        <w:textAlignment w:val="auto"/>
        <w:outlineLvl w:val="9"/>
        <w:rPr>
          <w:rFonts w:ascii="黑体" w:hAnsi="黑体" w:eastAsia="黑体" w:cs="宋体"/>
          <w:bCs/>
          <w:color w:val="333333"/>
          <w:kern w:val="0"/>
          <w:sz w:val="32"/>
          <w:szCs w:val="32"/>
        </w:rPr>
      </w:pPr>
      <w:r>
        <w:rPr>
          <w:rFonts w:hint="eastAsia" w:ascii="黑体" w:hAnsi="黑体" w:eastAsia="黑体" w:cs="宋体"/>
          <w:bCs/>
          <w:color w:val="333333"/>
          <w:kern w:val="0"/>
          <w:sz w:val="32"/>
          <w:szCs w:val="32"/>
        </w:rPr>
        <w:t>二、主动公开政府信息情况</w:t>
      </w:r>
    </w:p>
    <w:tbl>
      <w:tblPr>
        <w:tblStyle w:val="6"/>
        <w:tblW w:w="8970" w:type="dxa"/>
        <w:jc w:val="center"/>
        <w:tblInd w:w="0" w:type="dxa"/>
        <w:tblLayout w:type="fixed"/>
        <w:tblCellMar>
          <w:top w:w="0" w:type="dxa"/>
          <w:left w:w="0" w:type="dxa"/>
          <w:bottom w:w="0" w:type="dxa"/>
          <w:right w:w="0" w:type="dxa"/>
        </w:tblCellMar>
      </w:tblPr>
      <w:tblGrid>
        <w:gridCol w:w="1556"/>
        <w:gridCol w:w="1557"/>
        <w:gridCol w:w="1875"/>
        <w:gridCol w:w="6"/>
        <w:gridCol w:w="1265"/>
        <w:gridCol w:w="2711"/>
      </w:tblGrid>
      <w:tr>
        <w:tblPrEx>
          <w:tblLayout w:type="fixed"/>
          <w:tblCellMar>
            <w:top w:w="0" w:type="dxa"/>
            <w:left w:w="0" w:type="dxa"/>
            <w:bottom w:w="0" w:type="dxa"/>
            <w:right w:w="0" w:type="dxa"/>
          </w:tblCellMar>
        </w:tblPrEx>
        <w:trPr>
          <w:trHeight w:val="495" w:hRule="atLeast"/>
          <w:jc w:val="center"/>
        </w:trPr>
        <w:tc>
          <w:tcPr>
            <w:tcW w:w="8970" w:type="dxa"/>
            <w:gridSpan w:val="6"/>
            <w:tcBorders>
              <w:top w:val="single" w:color="auto" w:sz="4" w:space="0"/>
              <w:left w:val="single" w:color="auto" w:sz="4" w:space="0"/>
              <w:bottom w:val="single" w:color="auto" w:sz="4" w:space="0"/>
              <w:right w:val="single" w:color="auto" w:sz="4" w:space="0"/>
            </w:tcBorders>
            <w:shd w:val="clear" w:color="auto" w:fill="C6D9F1"/>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第二十条第（一）项</w:t>
            </w:r>
          </w:p>
        </w:tc>
      </w:tr>
      <w:tr>
        <w:tblPrEx>
          <w:tblLayout w:type="fixed"/>
          <w:tblCellMar>
            <w:top w:w="0" w:type="dxa"/>
            <w:left w:w="0" w:type="dxa"/>
            <w:bottom w:w="0" w:type="dxa"/>
            <w:right w:w="0" w:type="dxa"/>
          </w:tblCellMar>
        </w:tblPrEx>
        <w:trPr>
          <w:trHeight w:val="882"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本年新</w:t>
            </w:r>
            <w:r>
              <w:rPr>
                <w:rFonts w:ascii="宋体" w:hAnsi="宋体" w:eastAsia="宋体" w:cs="宋体"/>
                <w:color w:val="000000"/>
                <w:kern w:val="0"/>
                <w:sz w:val="20"/>
                <w:szCs w:val="20"/>
              </w:rPr>
              <w:br w:type="textWrapping"/>
            </w:r>
            <w:r>
              <w:rPr>
                <w:rFonts w:hint="eastAsia" w:ascii="宋体" w:hAnsi="宋体" w:eastAsia="宋体" w:cs="宋体"/>
                <w:kern w:val="0"/>
                <w:sz w:val="20"/>
                <w:szCs w:val="20"/>
              </w:rPr>
              <w:t>制作数量</w:t>
            </w:r>
          </w:p>
        </w:tc>
        <w:tc>
          <w:tcPr>
            <w:tcW w:w="127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本年新</w:t>
            </w:r>
            <w:r>
              <w:rPr>
                <w:rFonts w:ascii="宋体" w:hAnsi="宋体" w:eastAsia="宋体" w:cs="宋体"/>
                <w:color w:val="000000"/>
                <w:kern w:val="0"/>
                <w:sz w:val="20"/>
                <w:szCs w:val="20"/>
              </w:rPr>
              <w:br w:type="textWrapping"/>
            </w:r>
            <w:r>
              <w:rPr>
                <w:rFonts w:hint="eastAsia" w:ascii="宋体" w:hAnsi="宋体" w:eastAsia="宋体" w:cs="宋体"/>
                <w:kern w:val="0"/>
                <w:sz w:val="20"/>
                <w:szCs w:val="20"/>
              </w:rPr>
              <w:t>公开数量</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对外公开</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总数量</w:t>
            </w:r>
          </w:p>
        </w:tc>
      </w:tr>
      <w:tr>
        <w:tblPrEx>
          <w:tblLayout w:type="fixed"/>
          <w:tblCellMar>
            <w:top w:w="0" w:type="dxa"/>
            <w:left w:w="0" w:type="dxa"/>
            <w:bottom w:w="0" w:type="dxa"/>
            <w:right w:w="0" w:type="dxa"/>
          </w:tblCellMar>
        </w:tblPrEx>
        <w:trPr>
          <w:trHeight w:val="523"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规章</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c>
          <w:tcPr>
            <w:tcW w:w="127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r>
      <w:tr>
        <w:tblPrEx>
          <w:tblLayout w:type="fixed"/>
          <w:tblCellMar>
            <w:top w:w="0" w:type="dxa"/>
            <w:left w:w="0" w:type="dxa"/>
            <w:bottom w:w="0" w:type="dxa"/>
            <w:right w:w="0" w:type="dxa"/>
          </w:tblCellMar>
        </w:tblPrEx>
        <w:trPr>
          <w:trHeight w:val="471"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规范性文件</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c>
          <w:tcPr>
            <w:tcW w:w="127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4"/>
                <w:szCs w:val="24"/>
              </w:rPr>
              <w:t>0</w:t>
            </w:r>
          </w:p>
        </w:tc>
      </w:tr>
      <w:tr>
        <w:tblPrEx>
          <w:tblLayout w:type="fixed"/>
          <w:tblCellMar>
            <w:top w:w="0" w:type="dxa"/>
            <w:left w:w="0" w:type="dxa"/>
            <w:bottom w:w="0" w:type="dxa"/>
            <w:right w:w="0" w:type="dxa"/>
          </w:tblCellMar>
        </w:tblPrEx>
        <w:trPr>
          <w:trHeight w:val="480" w:hRule="atLeast"/>
          <w:jc w:val="center"/>
        </w:trPr>
        <w:tc>
          <w:tcPr>
            <w:tcW w:w="8970" w:type="dxa"/>
            <w:gridSpan w:val="6"/>
            <w:tcBorders>
              <w:top w:val="single" w:color="auto" w:sz="4" w:space="0"/>
              <w:left w:val="single" w:color="auto" w:sz="4" w:space="0"/>
              <w:bottom w:val="single" w:color="auto" w:sz="4" w:space="0"/>
              <w:right w:val="single" w:color="auto" w:sz="4" w:space="0"/>
            </w:tcBorders>
            <w:shd w:val="clear" w:color="auto" w:fill="C6D9F1"/>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第二十条第（五）项</w:t>
            </w:r>
          </w:p>
        </w:tc>
      </w:tr>
      <w:tr>
        <w:tblPrEx>
          <w:tblLayout w:type="fixed"/>
          <w:tblCellMar>
            <w:top w:w="0" w:type="dxa"/>
            <w:left w:w="0" w:type="dxa"/>
            <w:bottom w:w="0" w:type="dxa"/>
            <w:right w:w="0" w:type="dxa"/>
          </w:tblCellMar>
        </w:tblPrEx>
        <w:trPr>
          <w:trHeight w:val="634"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数量</w:t>
            </w:r>
          </w:p>
        </w:tc>
        <w:tc>
          <w:tcPr>
            <w:tcW w:w="127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增</w:t>
            </w:r>
            <w:r>
              <w:rPr>
                <w:rFonts w:ascii="宋体" w:hAnsi="宋体" w:eastAsia="宋体" w:cs="宋体"/>
                <w:color w:val="000000"/>
                <w:kern w:val="0"/>
                <w:sz w:val="20"/>
                <w:szCs w:val="20"/>
              </w:rPr>
              <w:t>/</w:t>
            </w:r>
            <w:r>
              <w:rPr>
                <w:rFonts w:hint="eastAsia" w:ascii="宋体" w:hAnsi="宋体" w:eastAsia="宋体" w:cs="宋体"/>
                <w:color w:val="000000"/>
                <w:kern w:val="0"/>
                <w:sz w:val="20"/>
                <w:szCs w:val="20"/>
              </w:rPr>
              <w:t>减</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处理决定数量</w:t>
            </w:r>
          </w:p>
        </w:tc>
      </w:tr>
      <w:tr>
        <w:tblPrEx>
          <w:tblLayout w:type="fixed"/>
          <w:tblCellMar>
            <w:top w:w="0" w:type="dxa"/>
            <w:left w:w="0" w:type="dxa"/>
            <w:bottom w:w="0" w:type="dxa"/>
            <w:right w:w="0" w:type="dxa"/>
          </w:tblCellMar>
        </w:tblPrEx>
        <w:trPr>
          <w:trHeight w:val="528"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行政许可</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19</w:t>
            </w:r>
          </w:p>
        </w:tc>
        <w:tc>
          <w:tcPr>
            <w:tcW w:w="1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63964</w:t>
            </w:r>
          </w:p>
        </w:tc>
      </w:tr>
      <w:tr>
        <w:tblPrEx>
          <w:tblLayout w:type="fixed"/>
          <w:tblCellMar>
            <w:top w:w="0" w:type="dxa"/>
            <w:left w:w="0" w:type="dxa"/>
            <w:bottom w:w="0" w:type="dxa"/>
            <w:right w:w="0" w:type="dxa"/>
          </w:tblCellMar>
        </w:tblPrEx>
        <w:trPr>
          <w:trHeight w:val="530" w:hRule="atLeast"/>
          <w:jc w:val="center"/>
        </w:trPr>
        <w:tc>
          <w:tcPr>
            <w:tcW w:w="155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其他对外管</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理服务事项</w:t>
            </w:r>
          </w:p>
        </w:tc>
        <w:tc>
          <w:tcPr>
            <w:tcW w:w="15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行政检查</w:t>
            </w:r>
          </w:p>
        </w:tc>
        <w:tc>
          <w:tcPr>
            <w:tcW w:w="1881"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7</w:t>
            </w:r>
          </w:p>
        </w:tc>
        <w:tc>
          <w:tcPr>
            <w:tcW w:w="126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7652</w:t>
            </w:r>
          </w:p>
        </w:tc>
      </w:tr>
      <w:tr>
        <w:tblPrEx>
          <w:tblLayout w:type="fixed"/>
          <w:tblCellMar>
            <w:top w:w="0" w:type="dxa"/>
            <w:left w:w="0" w:type="dxa"/>
            <w:bottom w:w="0" w:type="dxa"/>
            <w:right w:w="0" w:type="dxa"/>
          </w:tblCellMar>
        </w:tblPrEx>
        <w:trPr>
          <w:trHeight w:val="452" w:hRule="atLeast"/>
          <w:jc w:val="center"/>
        </w:trPr>
        <w:tc>
          <w:tcPr>
            <w:tcW w:w="155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p>
        </w:tc>
        <w:tc>
          <w:tcPr>
            <w:tcW w:w="15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行政确认</w:t>
            </w:r>
          </w:p>
        </w:tc>
        <w:tc>
          <w:tcPr>
            <w:tcW w:w="1881"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15</w:t>
            </w:r>
          </w:p>
        </w:tc>
        <w:tc>
          <w:tcPr>
            <w:tcW w:w="126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1223527</w:t>
            </w:r>
          </w:p>
        </w:tc>
      </w:tr>
      <w:tr>
        <w:tblPrEx>
          <w:tblLayout w:type="fixed"/>
          <w:tblCellMar>
            <w:top w:w="0" w:type="dxa"/>
            <w:left w:w="0" w:type="dxa"/>
            <w:bottom w:w="0" w:type="dxa"/>
            <w:right w:w="0" w:type="dxa"/>
          </w:tblCellMar>
        </w:tblPrEx>
        <w:trPr>
          <w:trHeight w:val="406" w:hRule="atLeast"/>
          <w:jc w:val="center"/>
        </w:trPr>
        <w:tc>
          <w:tcPr>
            <w:tcW w:w="8970" w:type="dxa"/>
            <w:gridSpan w:val="6"/>
            <w:tcBorders>
              <w:top w:val="single" w:color="auto" w:sz="4" w:space="0"/>
              <w:left w:val="single" w:color="auto" w:sz="4" w:space="0"/>
              <w:bottom w:val="single" w:color="auto" w:sz="4" w:space="0"/>
              <w:right w:val="single" w:color="auto" w:sz="4" w:space="0"/>
            </w:tcBorders>
            <w:shd w:val="clear" w:color="auto" w:fill="C6D9F1"/>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第二十条第（六）项</w:t>
            </w:r>
          </w:p>
        </w:tc>
      </w:tr>
      <w:tr>
        <w:tblPrEx>
          <w:tblLayout w:type="fixed"/>
          <w:tblCellMar>
            <w:top w:w="0" w:type="dxa"/>
            <w:left w:w="0" w:type="dxa"/>
            <w:bottom w:w="0" w:type="dxa"/>
            <w:right w:w="0" w:type="dxa"/>
          </w:tblCellMar>
        </w:tblPrEx>
        <w:trPr>
          <w:trHeight w:val="634"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8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数量</w:t>
            </w:r>
          </w:p>
        </w:tc>
        <w:tc>
          <w:tcPr>
            <w:tcW w:w="127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本年</w:t>
            </w:r>
          </w:p>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增</w:t>
            </w:r>
            <w:r>
              <w:rPr>
                <w:rFonts w:ascii="宋体" w:hAnsi="宋体" w:eastAsia="宋体" w:cs="宋体"/>
                <w:color w:val="000000"/>
                <w:kern w:val="0"/>
                <w:sz w:val="20"/>
                <w:szCs w:val="20"/>
              </w:rPr>
              <w:t>/</w:t>
            </w:r>
            <w:r>
              <w:rPr>
                <w:rFonts w:hint="eastAsia" w:ascii="宋体" w:hAnsi="宋体" w:eastAsia="宋体" w:cs="宋体"/>
                <w:color w:val="000000"/>
                <w:kern w:val="0"/>
                <w:sz w:val="20"/>
                <w:szCs w:val="20"/>
              </w:rPr>
              <w:t>减</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处理决定数量</w:t>
            </w:r>
          </w:p>
        </w:tc>
      </w:tr>
      <w:tr>
        <w:tblPrEx>
          <w:tblLayout w:type="fixed"/>
          <w:tblCellMar>
            <w:top w:w="0" w:type="dxa"/>
            <w:left w:w="0" w:type="dxa"/>
            <w:bottom w:w="0" w:type="dxa"/>
            <w:right w:w="0" w:type="dxa"/>
          </w:tblCellMar>
        </w:tblPrEx>
        <w:trPr>
          <w:trHeight w:val="614"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行政处罚</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73</w:t>
            </w:r>
          </w:p>
        </w:tc>
        <w:tc>
          <w:tcPr>
            <w:tcW w:w="1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+1049</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17112</w:t>
            </w:r>
          </w:p>
        </w:tc>
      </w:tr>
      <w:tr>
        <w:tblPrEx>
          <w:tblLayout w:type="fixed"/>
          <w:tblCellMar>
            <w:top w:w="0" w:type="dxa"/>
            <w:left w:w="0" w:type="dxa"/>
            <w:bottom w:w="0" w:type="dxa"/>
            <w:right w:w="0" w:type="dxa"/>
          </w:tblCellMar>
        </w:tblPrEx>
        <w:trPr>
          <w:trHeight w:val="409"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行政强制</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22</w:t>
            </w:r>
          </w:p>
        </w:tc>
        <w:tc>
          <w:tcPr>
            <w:tcW w:w="12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0</w:t>
            </w:r>
          </w:p>
        </w:tc>
        <w:tc>
          <w:tcPr>
            <w:tcW w:w="2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17125</w:t>
            </w:r>
          </w:p>
        </w:tc>
      </w:tr>
      <w:tr>
        <w:tblPrEx>
          <w:tblLayout w:type="fixed"/>
          <w:tblCellMar>
            <w:top w:w="0" w:type="dxa"/>
            <w:left w:w="0" w:type="dxa"/>
            <w:bottom w:w="0" w:type="dxa"/>
            <w:right w:w="0" w:type="dxa"/>
          </w:tblCellMar>
        </w:tblPrEx>
        <w:trPr>
          <w:trHeight w:val="375" w:hRule="atLeast"/>
          <w:jc w:val="center"/>
        </w:trPr>
        <w:tc>
          <w:tcPr>
            <w:tcW w:w="8970" w:type="dxa"/>
            <w:gridSpan w:val="6"/>
            <w:tcBorders>
              <w:top w:val="single" w:color="auto" w:sz="4" w:space="0"/>
              <w:left w:val="single" w:color="auto" w:sz="4" w:space="0"/>
              <w:bottom w:val="single" w:color="auto" w:sz="4" w:space="0"/>
              <w:right w:val="single" w:color="auto" w:sz="4" w:space="0"/>
            </w:tcBorders>
            <w:shd w:val="clear" w:color="auto" w:fill="C6D9F1"/>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第二十条第（八）项</w:t>
            </w:r>
          </w:p>
        </w:tc>
      </w:tr>
      <w:tr>
        <w:tblPrEx>
          <w:tblLayout w:type="fixed"/>
          <w:tblCellMar>
            <w:top w:w="0" w:type="dxa"/>
            <w:left w:w="0" w:type="dxa"/>
            <w:bottom w:w="0" w:type="dxa"/>
            <w:right w:w="0" w:type="dxa"/>
          </w:tblCellMar>
        </w:tblPrEx>
        <w:trPr>
          <w:trHeight w:val="567"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上一年项目数量</w:t>
            </w:r>
          </w:p>
        </w:tc>
        <w:tc>
          <w:tcPr>
            <w:tcW w:w="39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本年增</w:t>
            </w:r>
            <w:r>
              <w:rPr>
                <w:rFonts w:ascii="宋体" w:hAnsi="宋体" w:eastAsia="宋体" w:cs="宋体"/>
                <w:color w:val="000000"/>
                <w:kern w:val="0"/>
                <w:sz w:val="20"/>
                <w:szCs w:val="20"/>
              </w:rPr>
              <w:t>/</w:t>
            </w:r>
            <w:r>
              <w:rPr>
                <w:rFonts w:hint="eastAsia" w:ascii="宋体" w:hAnsi="宋体" w:eastAsia="宋体" w:cs="宋体"/>
                <w:color w:val="000000"/>
                <w:kern w:val="0"/>
                <w:sz w:val="20"/>
                <w:szCs w:val="20"/>
              </w:rPr>
              <w:t>减</w:t>
            </w:r>
          </w:p>
        </w:tc>
      </w:tr>
      <w:tr>
        <w:tblPrEx>
          <w:tblLayout w:type="fixed"/>
          <w:tblCellMar>
            <w:top w:w="0" w:type="dxa"/>
            <w:left w:w="0" w:type="dxa"/>
            <w:bottom w:w="0" w:type="dxa"/>
            <w:right w:w="0" w:type="dxa"/>
          </w:tblCellMar>
        </w:tblPrEx>
        <w:trPr>
          <w:trHeight w:val="551"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行政事业性收费</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7</w:t>
            </w:r>
          </w:p>
        </w:tc>
        <w:tc>
          <w:tcPr>
            <w:tcW w:w="39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-5</w:t>
            </w:r>
          </w:p>
        </w:tc>
      </w:tr>
      <w:tr>
        <w:tblPrEx>
          <w:tblLayout w:type="fixed"/>
          <w:tblCellMar>
            <w:top w:w="0" w:type="dxa"/>
            <w:left w:w="0" w:type="dxa"/>
            <w:bottom w:w="0" w:type="dxa"/>
            <w:right w:w="0" w:type="dxa"/>
          </w:tblCellMar>
        </w:tblPrEx>
        <w:trPr>
          <w:trHeight w:val="399" w:hRule="atLeast"/>
          <w:jc w:val="center"/>
        </w:trPr>
        <w:tc>
          <w:tcPr>
            <w:tcW w:w="8970" w:type="dxa"/>
            <w:gridSpan w:val="6"/>
            <w:tcBorders>
              <w:top w:val="single" w:color="auto" w:sz="4" w:space="0"/>
              <w:left w:val="single" w:color="auto" w:sz="4" w:space="0"/>
              <w:bottom w:val="single" w:color="auto" w:sz="4" w:space="0"/>
              <w:right w:val="single" w:color="auto" w:sz="4" w:space="0"/>
            </w:tcBorders>
            <w:shd w:val="clear" w:color="auto" w:fill="C6D9F1"/>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第二十条第（九）项</w:t>
            </w:r>
          </w:p>
        </w:tc>
      </w:tr>
      <w:tr>
        <w:tblPrEx>
          <w:tblLayout w:type="fixed"/>
          <w:tblCellMar>
            <w:top w:w="0" w:type="dxa"/>
            <w:left w:w="0" w:type="dxa"/>
            <w:bottom w:w="0" w:type="dxa"/>
            <w:right w:w="0" w:type="dxa"/>
          </w:tblCellMar>
        </w:tblPrEx>
        <w:trPr>
          <w:trHeight w:val="585"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信息内容</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kern w:val="0"/>
                <w:sz w:val="20"/>
                <w:szCs w:val="20"/>
              </w:rPr>
            </w:pPr>
            <w:r>
              <w:rPr>
                <w:rFonts w:hint="eastAsia" w:ascii="宋体" w:hAnsi="宋体" w:eastAsia="宋体" w:cs="宋体"/>
                <w:color w:val="000000"/>
                <w:kern w:val="0"/>
                <w:sz w:val="20"/>
                <w:szCs w:val="20"/>
              </w:rPr>
              <w:t>采购项目数量</w:t>
            </w:r>
          </w:p>
        </w:tc>
        <w:tc>
          <w:tcPr>
            <w:tcW w:w="39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采购总金额（万元，保留四位小数）</w:t>
            </w:r>
          </w:p>
        </w:tc>
      </w:tr>
      <w:tr>
        <w:tblPrEx>
          <w:tblLayout w:type="fixed"/>
          <w:tblCellMar>
            <w:top w:w="0" w:type="dxa"/>
            <w:left w:w="0" w:type="dxa"/>
            <w:bottom w:w="0" w:type="dxa"/>
            <w:right w:w="0" w:type="dxa"/>
          </w:tblCellMar>
        </w:tblPrEx>
        <w:trPr>
          <w:trHeight w:val="539" w:hRule="atLeast"/>
          <w:jc w:val="center"/>
        </w:trPr>
        <w:tc>
          <w:tcPr>
            <w:tcW w:w="311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ascii="宋体" w:hAnsi="宋体" w:eastAsia="宋体" w:cs="宋体"/>
                <w:color w:val="000000"/>
                <w:kern w:val="0"/>
                <w:sz w:val="20"/>
                <w:szCs w:val="20"/>
              </w:rPr>
            </w:pPr>
            <w:r>
              <w:rPr>
                <w:rFonts w:hint="eastAsia" w:ascii="宋体" w:hAnsi="宋体" w:eastAsia="宋体" w:cs="宋体"/>
                <w:color w:val="000000"/>
                <w:kern w:val="0"/>
                <w:sz w:val="20"/>
                <w:szCs w:val="20"/>
              </w:rPr>
              <w:t>政府集中采购</w:t>
            </w:r>
          </w:p>
        </w:tc>
        <w:tc>
          <w:tcPr>
            <w:tcW w:w="1881"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60</w:t>
            </w:r>
          </w:p>
        </w:tc>
        <w:tc>
          <w:tcPr>
            <w:tcW w:w="39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380" w:lineRule="exact"/>
              <w:ind w:left="0" w:leftChars="0" w:right="0" w:rightChars="0" w:firstLine="0" w:firstLineChars="0"/>
              <w:jc w:val="center"/>
              <w:textAlignment w:val="auto"/>
              <w:outlineLvl w:val="9"/>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204.3251</w:t>
            </w:r>
          </w:p>
        </w:tc>
      </w:tr>
    </w:tbl>
    <w:p>
      <w:pPr>
        <w:keepNext w:val="0"/>
        <w:keepLines w:val="0"/>
        <w:pageBreakBefore w:val="0"/>
        <w:widowControl/>
        <w:shd w:val="clear" w:color="auto" w:fill="FFFFFF"/>
        <w:kinsoku/>
        <w:wordWrap/>
        <w:overflowPunct/>
        <w:topLinePunct w:val="0"/>
        <w:autoSpaceDE/>
        <w:bidi w:val="0"/>
        <w:adjustRightInd/>
        <w:snapToGrid/>
        <w:spacing w:line="560" w:lineRule="exact"/>
        <w:ind w:right="0" w:rightChars="0" w:firstLine="640" w:firstLineChars="200"/>
        <w:textAlignment w:val="auto"/>
        <w:outlineLvl w:val="9"/>
        <w:rPr>
          <w:rFonts w:ascii="黑体" w:hAnsi="黑体" w:eastAsia="黑体" w:cs="宋体"/>
          <w:bCs/>
          <w:color w:val="333333"/>
          <w:kern w:val="0"/>
          <w:sz w:val="32"/>
          <w:szCs w:val="32"/>
        </w:rPr>
      </w:pPr>
      <w:r>
        <w:rPr>
          <w:rFonts w:hint="eastAsia" w:ascii="黑体" w:hAnsi="黑体" w:eastAsia="黑体" w:cs="宋体"/>
          <w:bCs/>
          <w:color w:val="333333"/>
          <w:kern w:val="0"/>
          <w:sz w:val="32"/>
          <w:szCs w:val="32"/>
        </w:rPr>
        <w:t>三、收到和处理政府信息公开申请情况</w:t>
      </w:r>
    </w:p>
    <w:tbl>
      <w:tblPr>
        <w:tblStyle w:val="6"/>
        <w:tblW w:w="9071" w:type="dxa"/>
        <w:jc w:val="center"/>
        <w:tblInd w:w="0" w:type="dxa"/>
        <w:tblLayout w:type="fixed"/>
        <w:tblCellMar>
          <w:top w:w="0" w:type="dxa"/>
          <w:left w:w="0" w:type="dxa"/>
          <w:bottom w:w="0" w:type="dxa"/>
          <w:right w:w="0" w:type="dxa"/>
        </w:tblCellMar>
      </w:tblPr>
      <w:tblGrid>
        <w:gridCol w:w="617"/>
        <w:gridCol w:w="854"/>
        <w:gridCol w:w="2314"/>
        <w:gridCol w:w="585"/>
        <w:gridCol w:w="755"/>
        <w:gridCol w:w="755"/>
        <w:gridCol w:w="813"/>
        <w:gridCol w:w="973"/>
        <w:gridCol w:w="711"/>
        <w:gridCol w:w="694"/>
      </w:tblGrid>
      <w:tr>
        <w:tblPrEx>
          <w:tblLayout w:type="fixed"/>
          <w:tblCellMar>
            <w:top w:w="0" w:type="dxa"/>
            <w:left w:w="0" w:type="dxa"/>
            <w:bottom w:w="0" w:type="dxa"/>
            <w:right w:w="0" w:type="dxa"/>
          </w:tblCellMar>
        </w:tblPrEx>
        <w:trPr>
          <w:jc w:val="center"/>
        </w:trPr>
        <w:tc>
          <w:tcPr>
            <w:tcW w:w="3785" w:type="dxa"/>
            <w:gridSpan w:val="3"/>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（本列数据的勾稽关系为：第一项加第二项之和，等于第三项加第四项之和）</w:t>
            </w:r>
          </w:p>
        </w:tc>
        <w:tc>
          <w:tcPr>
            <w:tcW w:w="5286" w:type="dxa"/>
            <w:gridSpan w:val="7"/>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申请人情况</w:t>
            </w:r>
          </w:p>
        </w:tc>
      </w:tr>
      <w:tr>
        <w:tblPrEx>
          <w:tblLayout w:type="fixed"/>
          <w:tblCellMar>
            <w:top w:w="0" w:type="dxa"/>
            <w:left w:w="0" w:type="dxa"/>
            <w:bottom w:w="0" w:type="dxa"/>
            <w:right w:w="0" w:type="dxa"/>
          </w:tblCellMar>
        </w:tblPrEx>
        <w:trPr>
          <w:jc w:val="center"/>
        </w:trPr>
        <w:tc>
          <w:tcPr>
            <w:tcW w:w="3785" w:type="dxa"/>
            <w:gridSpan w:val="3"/>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585"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自然人</w:t>
            </w:r>
          </w:p>
        </w:tc>
        <w:tc>
          <w:tcPr>
            <w:tcW w:w="400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法人或其他组织</w:t>
            </w:r>
          </w:p>
        </w:tc>
        <w:tc>
          <w:tcPr>
            <w:tcW w:w="69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总计</w:t>
            </w:r>
          </w:p>
        </w:tc>
      </w:tr>
      <w:tr>
        <w:tblPrEx>
          <w:tblLayout w:type="fixed"/>
          <w:tblCellMar>
            <w:top w:w="0" w:type="dxa"/>
            <w:left w:w="0" w:type="dxa"/>
            <w:bottom w:w="0" w:type="dxa"/>
            <w:right w:w="0" w:type="dxa"/>
          </w:tblCellMar>
        </w:tblPrEx>
        <w:trPr>
          <w:trHeight w:val="711" w:hRule="atLeast"/>
          <w:jc w:val="center"/>
        </w:trPr>
        <w:tc>
          <w:tcPr>
            <w:tcW w:w="3785" w:type="dxa"/>
            <w:gridSpan w:val="3"/>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585" w:type="dxa"/>
            <w:vMerge w:val="continue"/>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商业企业</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科研机构</w:t>
            </w:r>
          </w:p>
        </w:tc>
        <w:tc>
          <w:tcPr>
            <w:tcW w:w="8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社会公益组织</w:t>
            </w:r>
          </w:p>
        </w:tc>
        <w:tc>
          <w:tcPr>
            <w:tcW w:w="97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法律服务机构</w:t>
            </w:r>
          </w:p>
        </w:tc>
        <w:tc>
          <w:tcPr>
            <w:tcW w:w="71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其他</w:t>
            </w:r>
          </w:p>
        </w:tc>
        <w:tc>
          <w:tcPr>
            <w:tcW w:w="69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r>
      <w:tr>
        <w:tblPrEx>
          <w:tblLayout w:type="fixed"/>
          <w:tblCellMar>
            <w:top w:w="0" w:type="dxa"/>
            <w:left w:w="0" w:type="dxa"/>
            <w:bottom w:w="0" w:type="dxa"/>
            <w:right w:w="0" w:type="dxa"/>
          </w:tblCellMar>
        </w:tblPrEx>
        <w:trPr>
          <w:jc w:val="center"/>
        </w:trPr>
        <w:tc>
          <w:tcPr>
            <w:tcW w:w="3785"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宋体" w:hAnsi="宋体" w:eastAsia="宋体" w:cs="宋体"/>
                <w:kern w:val="0"/>
                <w:sz w:val="20"/>
                <w:szCs w:val="20"/>
              </w:rPr>
              <w:t>一、本年新收政府信息公开申请数量</w:t>
            </w:r>
          </w:p>
        </w:tc>
        <w:tc>
          <w:tcPr>
            <w:tcW w:w="58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214</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214</w:t>
            </w:r>
          </w:p>
        </w:tc>
      </w:tr>
      <w:tr>
        <w:tblPrEx>
          <w:tblLayout w:type="fixed"/>
          <w:tblCellMar>
            <w:top w:w="0" w:type="dxa"/>
            <w:left w:w="0" w:type="dxa"/>
            <w:bottom w:w="0" w:type="dxa"/>
            <w:right w:w="0" w:type="dxa"/>
          </w:tblCellMar>
        </w:tblPrEx>
        <w:trPr>
          <w:jc w:val="center"/>
        </w:trPr>
        <w:tc>
          <w:tcPr>
            <w:tcW w:w="3785"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宋体" w:hAnsi="宋体" w:eastAsia="宋体" w:cs="宋体"/>
                <w:kern w:val="0"/>
                <w:sz w:val="20"/>
                <w:szCs w:val="20"/>
              </w:rPr>
              <w:t>二、上年结转政府信息公开申请数量</w:t>
            </w:r>
          </w:p>
        </w:tc>
        <w:tc>
          <w:tcPr>
            <w:tcW w:w="58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7</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w:t>
            </w:r>
          </w:p>
        </w:tc>
        <w:tc>
          <w:tcPr>
            <w:tcW w:w="75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8</w:t>
            </w:r>
          </w:p>
        </w:tc>
      </w:tr>
      <w:tr>
        <w:tblPrEx>
          <w:tblLayout w:type="fixed"/>
          <w:tblCellMar>
            <w:top w:w="0" w:type="dxa"/>
            <w:left w:w="0" w:type="dxa"/>
            <w:bottom w:w="0" w:type="dxa"/>
            <w:right w:w="0" w:type="dxa"/>
          </w:tblCellMar>
        </w:tblPrEx>
        <w:trPr>
          <w:trHeight w:val="0" w:hRule="atLeast"/>
          <w:jc w:val="center"/>
        </w:trPr>
        <w:tc>
          <w:tcPr>
            <w:tcW w:w="617"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eastAsia="宋体" w:cs="宋体"/>
                <w:kern w:val="0"/>
                <w:sz w:val="20"/>
                <w:szCs w:val="20"/>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eastAsia="宋体" w:cs="宋体"/>
                <w:kern w:val="0"/>
                <w:sz w:val="20"/>
                <w:szCs w:val="20"/>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eastAsia="宋体" w:cs="宋体"/>
                <w:kern w:val="0"/>
                <w:sz w:val="20"/>
                <w:szCs w:val="20"/>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eastAsia="宋体" w:cs="宋体"/>
                <w:kern w:val="0"/>
                <w:sz w:val="20"/>
                <w:szCs w:val="20"/>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三、本年度办理结果</w:t>
            </w:r>
          </w:p>
        </w:tc>
        <w:tc>
          <w:tcPr>
            <w:tcW w:w="3168"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（一）予以公开</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24</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24</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3168"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（二）部分公开（区分处理的，只计这一情形，不计其他情形）</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12</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12</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楷体" w:hAnsi="楷体" w:eastAsia="楷体" w:cs="宋体"/>
                <w:kern w:val="0"/>
                <w:sz w:val="20"/>
                <w:szCs w:val="20"/>
              </w:rPr>
            </w:pP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（三）不予公开</w:t>
            </w: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1.属于国家秘密</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2.其他法律行政法规禁止公开</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3.危及“三安全一稳定”</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4.保护第三方合法权益</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5.属于三类内部事务信息</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17</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17</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6.属于四类过程性信息</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3</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3</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7.属于行政执法案卷</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16</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16</w:t>
            </w:r>
          </w:p>
        </w:tc>
      </w:tr>
      <w:tr>
        <w:tblPrEx>
          <w:tblLayout w:type="fixed"/>
          <w:tblCellMar>
            <w:top w:w="0" w:type="dxa"/>
            <w:left w:w="0" w:type="dxa"/>
            <w:bottom w:w="0" w:type="dxa"/>
            <w:right w:w="0" w:type="dxa"/>
          </w:tblCellMar>
        </w:tblPrEx>
        <w:trPr>
          <w:trHeight w:val="0" w:hRule="atLeast"/>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8.属于行政查询事项</w:t>
            </w:r>
          </w:p>
        </w:tc>
        <w:tc>
          <w:tcPr>
            <w:tcW w:w="5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w:t>
            </w:r>
          </w:p>
        </w:tc>
      </w:tr>
      <w:tr>
        <w:tblPrEx>
          <w:tblLayout w:type="fixed"/>
          <w:tblCellMar>
            <w:top w:w="0" w:type="dxa"/>
            <w:left w:w="0" w:type="dxa"/>
            <w:bottom w:w="0" w:type="dxa"/>
            <w:right w:w="0" w:type="dxa"/>
          </w:tblCellMar>
        </w:tblPrEx>
        <w:trPr>
          <w:jc w:val="center"/>
        </w:trPr>
        <w:tc>
          <w:tcPr>
            <w:tcW w:w="617" w:type="dxa"/>
            <w:vMerge w:val="continue"/>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restart"/>
            <w:tcBorders>
              <w:top w:val="single" w:color="auto" w:sz="8" w:space="0"/>
              <w:left w:val="nil"/>
              <w:bottom w:val="single" w:color="auto" w:sz="8"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（四）无法提供</w:t>
            </w:r>
          </w:p>
        </w:tc>
        <w:tc>
          <w:tcPr>
            <w:tcW w:w="2314"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1.本机关不掌握相关政府信息</w:t>
            </w:r>
          </w:p>
        </w:tc>
        <w:tc>
          <w:tcPr>
            <w:tcW w:w="585"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46</w:t>
            </w:r>
          </w:p>
        </w:tc>
        <w:tc>
          <w:tcPr>
            <w:tcW w:w="755"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8"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46</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2.没有现成信息需要另行制作</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6</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6</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3.补正后申请内容仍不明确</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8</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8</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restart"/>
            <w:tcBorders>
              <w:top w:val="nil"/>
              <w:left w:val="nil"/>
              <w:bottom w:val="single" w:color="auto" w:sz="8"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（五）不予处理</w:t>
            </w: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1.信访举报投诉类申请</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69</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70</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2.重复申请</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5</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5</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3.要求提供公开出版物</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4.无正当理由大量反复申请</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854" w:type="dxa"/>
            <w:vMerge w:val="continue"/>
            <w:tcBorders>
              <w:top w:val="nil"/>
              <w:left w:val="nil"/>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23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5.要求行政机关确认或重新出具已获取信息</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w:t>
            </w:r>
          </w:p>
        </w:tc>
      </w:tr>
      <w:tr>
        <w:tblPrEx>
          <w:tblLayout w:type="fixed"/>
          <w:tblCellMar>
            <w:top w:w="0" w:type="dxa"/>
            <w:left w:w="0" w:type="dxa"/>
            <w:bottom w:w="0" w:type="dxa"/>
            <w:right w:w="0" w:type="dxa"/>
          </w:tblCellMar>
        </w:tblPrEx>
        <w:trPr>
          <w:jc w:val="center"/>
        </w:trPr>
        <w:tc>
          <w:tcPr>
            <w:tcW w:w="617" w:type="dxa"/>
            <w:vMerge w:val="continue"/>
            <w:tcBorders>
              <w:top w:val="nil"/>
              <w:left w:val="single" w:color="auto" w:sz="8" w:space="0"/>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3168"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（六）其他处理</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r>
      <w:tr>
        <w:tblPrEx>
          <w:tblLayout w:type="fixed"/>
          <w:tblCellMar>
            <w:top w:w="0" w:type="dxa"/>
            <w:left w:w="0" w:type="dxa"/>
            <w:bottom w:w="0" w:type="dxa"/>
            <w:right w:w="0" w:type="dxa"/>
          </w:tblCellMar>
        </w:tblPrEx>
        <w:trPr>
          <w:trHeight w:val="61" w:hRule="atLeast"/>
          <w:jc w:val="center"/>
        </w:trPr>
        <w:tc>
          <w:tcPr>
            <w:tcW w:w="617" w:type="dxa"/>
            <w:vMerge w:val="continue"/>
            <w:tcBorders>
              <w:top w:val="nil"/>
              <w:left w:val="single" w:color="auto" w:sz="8" w:space="0"/>
              <w:bottom w:val="single" w:color="auto" w:sz="8"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p>
        </w:tc>
        <w:tc>
          <w:tcPr>
            <w:tcW w:w="3168"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楷体" w:hAnsi="楷体" w:eastAsia="楷体" w:cs="宋体"/>
                <w:kern w:val="0"/>
                <w:sz w:val="20"/>
                <w:szCs w:val="20"/>
              </w:rPr>
              <w:t>（七）总计</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212</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212</w:t>
            </w:r>
          </w:p>
        </w:tc>
      </w:tr>
      <w:tr>
        <w:tblPrEx>
          <w:tblLayout w:type="fixed"/>
          <w:tblCellMar>
            <w:top w:w="0" w:type="dxa"/>
            <w:left w:w="0" w:type="dxa"/>
            <w:bottom w:w="0" w:type="dxa"/>
            <w:right w:w="0" w:type="dxa"/>
          </w:tblCellMar>
        </w:tblPrEx>
        <w:trPr>
          <w:trHeight w:val="595" w:hRule="atLeast"/>
          <w:jc w:val="center"/>
        </w:trPr>
        <w:tc>
          <w:tcPr>
            <w:tcW w:w="3785"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四、结转下年度继续办理</w:t>
            </w:r>
          </w:p>
        </w:tc>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5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8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9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71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0</w:t>
            </w:r>
          </w:p>
        </w:tc>
        <w:tc>
          <w:tcPr>
            <w:tcW w:w="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楷体" w:hAnsi="楷体" w:eastAsia="楷体" w:cs="宋体"/>
                <w:kern w:val="0"/>
                <w:sz w:val="20"/>
                <w:szCs w:val="20"/>
              </w:rPr>
            </w:pPr>
            <w:r>
              <w:rPr>
                <w:rFonts w:hint="eastAsia" w:ascii="楷体" w:hAnsi="楷体" w:eastAsia="楷体" w:cs="宋体"/>
                <w:kern w:val="0"/>
                <w:sz w:val="20"/>
                <w:szCs w:val="20"/>
              </w:rPr>
              <w:t>10</w:t>
            </w:r>
          </w:p>
        </w:tc>
      </w:tr>
    </w:tbl>
    <w:p>
      <w:pPr>
        <w:keepNext w:val="0"/>
        <w:keepLines w:val="0"/>
        <w:pageBreakBefore w:val="0"/>
        <w:widowControl/>
        <w:shd w:val="clear" w:color="auto" w:fill="FFFFFF"/>
        <w:kinsoku/>
        <w:wordWrap/>
        <w:overflowPunct/>
        <w:topLinePunct w:val="0"/>
        <w:autoSpaceDE/>
        <w:bidi w:val="0"/>
        <w:adjustRightInd/>
        <w:snapToGrid/>
        <w:spacing w:line="560" w:lineRule="exact"/>
        <w:ind w:left="0" w:leftChars="0" w:right="0" w:rightChars="0" w:firstLine="480" w:firstLineChars="150"/>
        <w:textAlignment w:val="auto"/>
        <w:outlineLvl w:val="9"/>
        <w:rPr>
          <w:rFonts w:ascii="黑体" w:hAnsi="黑体" w:eastAsia="黑体" w:cs="宋体"/>
          <w:bCs/>
          <w:color w:val="333333"/>
          <w:kern w:val="0"/>
          <w:sz w:val="32"/>
          <w:szCs w:val="32"/>
        </w:rPr>
      </w:pPr>
      <w:r>
        <w:rPr>
          <w:rFonts w:hint="eastAsia" w:ascii="黑体" w:hAnsi="黑体" w:eastAsia="黑体" w:cs="宋体"/>
          <w:bCs/>
          <w:color w:val="333333"/>
          <w:kern w:val="0"/>
          <w:sz w:val="32"/>
          <w:szCs w:val="32"/>
        </w:rPr>
        <w:t>四、政府信息公开行政复议、行政诉讼情况</w:t>
      </w:r>
    </w:p>
    <w:tbl>
      <w:tblPr>
        <w:tblStyle w:val="6"/>
        <w:tblW w:w="9071" w:type="dxa"/>
        <w:jc w:val="center"/>
        <w:tblInd w:w="0" w:type="dxa"/>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blPrEx>
          <w:tblLayout w:type="fixed"/>
          <w:tblCellMar>
            <w:top w:w="0" w:type="dxa"/>
            <w:left w:w="0" w:type="dxa"/>
            <w:bottom w:w="0" w:type="dxa"/>
            <w:right w:w="0" w:type="dxa"/>
          </w:tblCellMar>
        </w:tblPrEx>
        <w:trPr>
          <w:jc w:val="center"/>
        </w:trPr>
        <w:tc>
          <w:tcPr>
            <w:tcW w:w="3074"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行政复议</w:t>
            </w:r>
          </w:p>
        </w:tc>
        <w:tc>
          <w:tcPr>
            <w:tcW w:w="5997" w:type="dxa"/>
            <w:gridSpan w:val="10"/>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行政诉讼</w:t>
            </w:r>
          </w:p>
        </w:tc>
      </w:tr>
      <w:tr>
        <w:tblPrEx>
          <w:tblLayout w:type="fixed"/>
          <w:tblCellMar>
            <w:top w:w="0" w:type="dxa"/>
            <w:left w:w="0" w:type="dxa"/>
            <w:bottom w:w="0" w:type="dxa"/>
            <w:right w:w="0" w:type="dxa"/>
          </w:tblCellMar>
        </w:tblPrEx>
        <w:trPr>
          <w:jc w:val="center"/>
        </w:trPr>
        <w:tc>
          <w:tcPr>
            <w:tcW w:w="60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4"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其他结果</w:t>
            </w:r>
          </w:p>
        </w:tc>
        <w:tc>
          <w:tcPr>
            <w:tcW w:w="604"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58"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总计</w:t>
            </w:r>
          </w:p>
        </w:tc>
        <w:tc>
          <w:tcPr>
            <w:tcW w:w="29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未经复议直接起诉</w:t>
            </w:r>
          </w:p>
        </w:tc>
        <w:tc>
          <w:tcPr>
            <w:tcW w:w="3027"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复议后起诉</w:t>
            </w:r>
          </w:p>
        </w:tc>
      </w:tr>
      <w:tr>
        <w:tblPrEx>
          <w:tblLayout w:type="fixed"/>
          <w:tblCellMar>
            <w:top w:w="0" w:type="dxa"/>
            <w:left w:w="0" w:type="dxa"/>
            <w:bottom w:w="0" w:type="dxa"/>
            <w:right w:w="0" w:type="dxa"/>
          </w:tblCellMar>
        </w:tblPrEx>
        <w:trPr>
          <w:jc w:val="center"/>
        </w:trPr>
        <w:tc>
          <w:tcPr>
            <w:tcW w:w="604" w:type="dxa"/>
            <w:vMerge w:val="continue"/>
            <w:tcBorders>
              <w:top w:val="nil"/>
              <w:left w:val="single" w:color="auto" w:sz="8" w:space="0"/>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p>
        </w:tc>
        <w:tc>
          <w:tcPr>
            <w:tcW w:w="604" w:type="dxa"/>
            <w:vMerge w:val="continue"/>
            <w:tcBorders>
              <w:top w:val="nil"/>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p>
        </w:tc>
        <w:tc>
          <w:tcPr>
            <w:tcW w:w="604"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p>
        </w:tc>
        <w:tc>
          <w:tcPr>
            <w:tcW w:w="658" w:type="dxa"/>
            <w:vMerge w:val="continue"/>
            <w:tcBorders>
              <w:top w:val="single" w:color="auto" w:sz="8" w:space="0"/>
              <w:left w:val="nil"/>
              <w:bottom w:val="single" w:color="auto" w:sz="8" w:space="0"/>
              <w:right w:val="single" w:color="auto" w:sz="8"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其他结果</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0"/>
                <w:szCs w:val="20"/>
              </w:rPr>
              <w:t>总计</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结果维持</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结果纠正</w:t>
            </w:r>
          </w:p>
        </w:tc>
        <w:tc>
          <w:tcPr>
            <w:tcW w:w="60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0"/>
                <w:szCs w:val="20"/>
              </w:rPr>
              <w:t>其他结果</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0"/>
                <w:szCs w:val="20"/>
              </w:rPr>
              <w:t>尚未审结</w:t>
            </w:r>
          </w:p>
        </w:tc>
        <w:tc>
          <w:tcPr>
            <w:tcW w:w="60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color w:val="000000"/>
                <w:kern w:val="0"/>
                <w:sz w:val="20"/>
                <w:szCs w:val="20"/>
              </w:rPr>
              <w:t>总计</w:t>
            </w:r>
          </w:p>
        </w:tc>
      </w:tr>
      <w:tr>
        <w:tblPrEx>
          <w:tblLayout w:type="fixed"/>
        </w:tblPrEx>
        <w:trPr>
          <w:jc w:val="center"/>
        </w:trPr>
        <w:tc>
          <w:tcPr>
            <w:tcW w:w="60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4</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1</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1</w:t>
            </w:r>
          </w:p>
        </w:tc>
        <w:tc>
          <w:tcPr>
            <w:tcW w:w="60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3</w:t>
            </w:r>
          </w:p>
        </w:tc>
        <w:tc>
          <w:tcPr>
            <w:tcW w:w="65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9</w:t>
            </w:r>
          </w:p>
        </w:tc>
        <w:tc>
          <w:tcPr>
            <w:tcW w:w="55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9</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2</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11</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1</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0</w:t>
            </w:r>
          </w:p>
        </w:tc>
        <w:tc>
          <w:tcPr>
            <w:tcW w:w="605"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0</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1</w:t>
            </w:r>
          </w:p>
        </w:tc>
        <w:tc>
          <w:tcPr>
            <w:tcW w:w="60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eastAsia="宋体" w:cs="宋体"/>
                <w:kern w:val="0"/>
                <w:sz w:val="24"/>
                <w:szCs w:val="24"/>
              </w:rPr>
            </w:pPr>
            <w:r>
              <w:rPr>
                <w:rFonts w:hint="eastAsia" w:ascii="宋体" w:hAnsi="宋体" w:eastAsia="宋体" w:cs="宋体"/>
                <w:kern w:val="0"/>
                <w:sz w:val="24"/>
                <w:szCs w:val="24"/>
              </w:rPr>
              <w:t>2</w:t>
            </w:r>
          </w:p>
        </w:tc>
      </w:tr>
    </w:tbl>
    <w:p>
      <w:pPr>
        <w:keepNext w:val="0"/>
        <w:keepLines w:val="0"/>
        <w:pageBreakBefore w:val="0"/>
        <w:widowControl/>
        <w:shd w:val="clear" w:color="auto" w:fill="FFFFFF"/>
        <w:kinsoku/>
        <w:wordWrap/>
        <w:overflowPunct/>
        <w:topLinePunct w:val="0"/>
        <w:autoSpaceDE/>
        <w:bidi w:val="0"/>
        <w:adjustRightInd/>
        <w:snapToGrid/>
        <w:spacing w:line="560" w:lineRule="exact"/>
        <w:ind w:right="0" w:rightChars="0" w:firstLine="640" w:firstLineChars="200"/>
        <w:textAlignment w:val="auto"/>
        <w:outlineLvl w:val="9"/>
        <w:rPr>
          <w:rFonts w:ascii="黑体" w:hAnsi="黑体" w:eastAsia="黑体" w:cs="宋体"/>
          <w:bCs/>
          <w:color w:val="333333"/>
          <w:kern w:val="0"/>
          <w:sz w:val="32"/>
          <w:szCs w:val="32"/>
        </w:rPr>
      </w:pPr>
      <w:r>
        <w:rPr>
          <w:rFonts w:hint="eastAsia" w:ascii="黑体" w:hAnsi="黑体" w:eastAsia="黑体" w:cs="宋体"/>
          <w:bCs/>
          <w:color w:val="333333"/>
          <w:kern w:val="0"/>
          <w:sz w:val="32"/>
          <w:szCs w:val="32"/>
        </w:rPr>
        <w:t>五、存在的主要问题及改进情况</w:t>
      </w:r>
    </w:p>
    <w:p>
      <w:pPr>
        <w:keepNext w:val="0"/>
        <w:keepLines w:val="0"/>
        <w:pageBreakBefore w:val="0"/>
        <w:kinsoku/>
        <w:wordWrap/>
        <w:overflowPunct/>
        <w:topLinePunct w:val="0"/>
        <w:autoSpaceDE/>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(一)存在主要问题</w:t>
      </w:r>
    </w:p>
    <w:p>
      <w:pPr>
        <w:keepNext w:val="0"/>
        <w:keepLines w:val="0"/>
        <w:pageBreakBefore w:val="0"/>
        <w:kinsoku/>
        <w:wordWrap/>
        <w:overflowPunct/>
        <w:topLinePunct w:val="0"/>
        <w:autoSpaceDE/>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政府信息公开工作的硬件建设有待提升；政府信息管理动态调整机制有待完善。</w:t>
      </w:r>
    </w:p>
    <w:p>
      <w:pPr>
        <w:keepNext w:val="0"/>
        <w:keepLines w:val="0"/>
        <w:pageBreakBefore w:val="0"/>
        <w:kinsoku/>
        <w:wordWrap/>
        <w:overflowPunct/>
        <w:topLinePunct w:val="0"/>
        <w:autoSpaceDE/>
        <w:bidi w:val="0"/>
        <w:adjustRightInd/>
        <w:snapToGrid/>
        <w:spacing w:line="560" w:lineRule="exact"/>
        <w:ind w:left="0" w:leftChars="0" w:right="0" w:rightChars="0" w:firstLine="643" w:firstLineChars="200"/>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（二）改进情况</w:t>
      </w:r>
    </w:p>
    <w:p>
      <w:pPr>
        <w:keepNext w:val="0"/>
        <w:keepLines w:val="0"/>
        <w:pageBreakBefore w:val="0"/>
        <w:kinsoku/>
        <w:wordWrap/>
        <w:overflowPunct/>
        <w:topLinePunct w:val="0"/>
        <w:autoSpaceDE/>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w:t>
      </w:r>
      <w:r>
        <w:rPr>
          <w:rFonts w:hint="eastAsia" w:ascii="仿宋_GB2312" w:hAnsi="仿宋_GB2312" w:eastAsia="仿宋_GB2312" w:cs="仿宋_GB2312"/>
          <w:color w:val="404040"/>
          <w:sz w:val="32"/>
          <w:szCs w:val="32"/>
          <w:shd w:val="clear" w:color="auto" w:fill="FFFFFF"/>
        </w:rPr>
        <w:t>以人民为中心的发展思想，加快改善</w:t>
      </w:r>
      <w:r>
        <w:rPr>
          <w:rFonts w:hint="eastAsia" w:ascii="仿宋_GB2312" w:hAnsi="仿宋_GB2312" w:eastAsia="仿宋_GB2312" w:cs="仿宋_GB2312"/>
          <w:sz w:val="32"/>
          <w:szCs w:val="32"/>
        </w:rPr>
        <w:t>政府信息公开工作接待环境，提供便民、优质服务。完善政府信息管理动态调整机制，定期评估审查不予公开的政府信息，主动公开因情势变化的政府信息，扎实有序推进阳光行政机关的建设工作。</w:t>
      </w:r>
    </w:p>
    <w:p>
      <w:pPr>
        <w:keepNext w:val="0"/>
        <w:keepLines w:val="0"/>
        <w:pageBreakBefore w:val="0"/>
        <w:widowControl/>
        <w:shd w:val="clear" w:color="auto" w:fill="FFFFFF"/>
        <w:kinsoku/>
        <w:wordWrap/>
        <w:overflowPunct/>
        <w:topLinePunct w:val="0"/>
        <w:autoSpaceDE/>
        <w:bidi w:val="0"/>
        <w:adjustRightInd/>
        <w:snapToGrid/>
        <w:spacing w:line="560" w:lineRule="exact"/>
        <w:ind w:right="0" w:rightChars="0" w:firstLine="640" w:firstLineChars="200"/>
        <w:textAlignment w:val="auto"/>
        <w:outlineLvl w:val="9"/>
        <w:rPr>
          <w:rFonts w:ascii="黑体" w:hAnsi="黑体" w:eastAsia="黑体" w:cs="宋体"/>
          <w:bCs/>
          <w:color w:val="333333"/>
          <w:kern w:val="0"/>
          <w:sz w:val="32"/>
          <w:szCs w:val="32"/>
        </w:rPr>
      </w:pPr>
      <w:r>
        <w:rPr>
          <w:rFonts w:hint="eastAsia" w:ascii="黑体" w:hAnsi="黑体" w:eastAsia="黑体" w:cs="宋体"/>
          <w:bCs/>
          <w:color w:val="333333"/>
          <w:kern w:val="0"/>
          <w:sz w:val="32"/>
          <w:szCs w:val="32"/>
        </w:rPr>
        <w:t>六、其他需要报告的事项</w:t>
      </w:r>
    </w:p>
    <w:p>
      <w:pPr>
        <w:keepNext w:val="0"/>
        <w:keepLines w:val="0"/>
        <w:pageBreakBefore w:val="0"/>
        <w:kinsoku/>
        <w:wordWrap/>
        <w:overflowPunct/>
        <w:topLinePunct w:val="0"/>
        <w:autoSpaceDE/>
        <w:bidi w:val="0"/>
        <w:adjustRightInd/>
        <w:snapToGrid/>
        <w:spacing w:line="560" w:lineRule="exact"/>
        <w:ind w:left="0" w:leftChars="0" w:right="0" w:rightChars="0" w:firstLine="640" w:firstLineChars="200"/>
        <w:textAlignment w:val="auto"/>
        <w:outlineLvl w:val="9"/>
      </w:pPr>
      <w:r>
        <w:rPr>
          <w:rFonts w:hint="eastAsia" w:ascii="仿宋_GB2312" w:hAnsi="仿宋_GB2312" w:eastAsia="仿宋_GB2312" w:cs="仿宋_GB2312"/>
          <w:bCs/>
          <w:sz w:val="32"/>
          <w:szCs w:val="32"/>
        </w:rPr>
        <w:t>本报告中所列数据的统计期限自2020年1月1日至2020年12月31日。如需了解更多政府信息，请登录北京市公安局网站（http://gaj.beijing.gov.cn）查询。</w:t>
      </w:r>
      <w:r>
        <w:rPr>
          <w:rFonts w:hint="eastAsia" w:ascii="仿宋_GB2312" w:hAnsi="仿宋_GB2312" w:eastAsia="仿宋_GB2312" w:cs="仿宋_GB2312"/>
          <w:sz w:val="32"/>
          <w:szCs w:val="32"/>
        </w:rPr>
        <w:t xml:space="preserve">  </w:t>
      </w:r>
      <w:r>
        <w:rPr>
          <w:rFonts w:hint="eastAsia" w:ascii="仿宋" w:hAnsi="仿宋" w:eastAsia="仿宋" w:cs="仿宋_GB2312"/>
          <w:sz w:val="32"/>
          <w:szCs w:val="32"/>
        </w:rPr>
        <w:t xml:space="preserve">      </w:t>
      </w:r>
      <w:bookmarkStart w:id="0" w:name="_GoBack"/>
      <w:bookmarkEnd w:id="0"/>
      <w:r>
        <w:rPr>
          <w:rFonts w:hint="eastAsia" w:ascii="仿宋" w:hAnsi="仿宋" w:eastAsia="仿宋" w:cs="仿宋_GB2312"/>
          <w:sz w:val="32"/>
          <w:szCs w:val="32"/>
        </w:rPr>
        <w:t xml:space="preserve">               </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楷体">
    <w:altName w:val="楷体_GB2312"/>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仿宋">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D302F7"/>
    <w:rsid w:val="00021F42"/>
    <w:rsid w:val="00022279"/>
    <w:rsid w:val="00051F78"/>
    <w:rsid w:val="00052D03"/>
    <w:rsid w:val="00064957"/>
    <w:rsid w:val="000872DA"/>
    <w:rsid w:val="00096B14"/>
    <w:rsid w:val="000A0779"/>
    <w:rsid w:val="000B168C"/>
    <w:rsid w:val="000B49FB"/>
    <w:rsid w:val="000C6E8E"/>
    <w:rsid w:val="000D1D6C"/>
    <w:rsid w:val="000E016E"/>
    <w:rsid w:val="000F0580"/>
    <w:rsid w:val="000F3ED9"/>
    <w:rsid w:val="00141A83"/>
    <w:rsid w:val="00141AA0"/>
    <w:rsid w:val="0015011C"/>
    <w:rsid w:val="00154B3C"/>
    <w:rsid w:val="00170438"/>
    <w:rsid w:val="00176EEC"/>
    <w:rsid w:val="001B5CAD"/>
    <w:rsid w:val="001B7C05"/>
    <w:rsid w:val="001C2276"/>
    <w:rsid w:val="001C401E"/>
    <w:rsid w:val="001E1364"/>
    <w:rsid w:val="0022096A"/>
    <w:rsid w:val="00223346"/>
    <w:rsid w:val="00235F21"/>
    <w:rsid w:val="0024160D"/>
    <w:rsid w:val="00244B88"/>
    <w:rsid w:val="00270A60"/>
    <w:rsid w:val="00281B83"/>
    <w:rsid w:val="00285F0E"/>
    <w:rsid w:val="00292CD8"/>
    <w:rsid w:val="00293DE9"/>
    <w:rsid w:val="002A3183"/>
    <w:rsid w:val="002B1393"/>
    <w:rsid w:val="002B51F6"/>
    <w:rsid w:val="002E6DC5"/>
    <w:rsid w:val="002F59CC"/>
    <w:rsid w:val="00317EBF"/>
    <w:rsid w:val="003475FA"/>
    <w:rsid w:val="00355E8A"/>
    <w:rsid w:val="00365A0B"/>
    <w:rsid w:val="0037017B"/>
    <w:rsid w:val="00372C04"/>
    <w:rsid w:val="00380EED"/>
    <w:rsid w:val="003A44BA"/>
    <w:rsid w:val="003A5282"/>
    <w:rsid w:val="003F5B1E"/>
    <w:rsid w:val="004051CA"/>
    <w:rsid w:val="004137DC"/>
    <w:rsid w:val="0042703B"/>
    <w:rsid w:val="004712C2"/>
    <w:rsid w:val="00487946"/>
    <w:rsid w:val="004B79A2"/>
    <w:rsid w:val="004C2994"/>
    <w:rsid w:val="005032E8"/>
    <w:rsid w:val="005107C3"/>
    <w:rsid w:val="005519FB"/>
    <w:rsid w:val="00551B47"/>
    <w:rsid w:val="00562356"/>
    <w:rsid w:val="005647F7"/>
    <w:rsid w:val="00565B7C"/>
    <w:rsid w:val="0058018D"/>
    <w:rsid w:val="005842F7"/>
    <w:rsid w:val="00591C48"/>
    <w:rsid w:val="005C363E"/>
    <w:rsid w:val="005D1CEC"/>
    <w:rsid w:val="005E584A"/>
    <w:rsid w:val="006318F8"/>
    <w:rsid w:val="00633EAF"/>
    <w:rsid w:val="00634C0A"/>
    <w:rsid w:val="0066300F"/>
    <w:rsid w:val="006847E1"/>
    <w:rsid w:val="00694773"/>
    <w:rsid w:val="00695EE3"/>
    <w:rsid w:val="006A0C54"/>
    <w:rsid w:val="006E3CCE"/>
    <w:rsid w:val="006E454B"/>
    <w:rsid w:val="0070000F"/>
    <w:rsid w:val="00716A20"/>
    <w:rsid w:val="0071772F"/>
    <w:rsid w:val="00736168"/>
    <w:rsid w:val="00766FF6"/>
    <w:rsid w:val="007673B5"/>
    <w:rsid w:val="00795415"/>
    <w:rsid w:val="007B34B7"/>
    <w:rsid w:val="007B3C7F"/>
    <w:rsid w:val="007D7C49"/>
    <w:rsid w:val="007E72C9"/>
    <w:rsid w:val="007F00AC"/>
    <w:rsid w:val="008007F4"/>
    <w:rsid w:val="00803419"/>
    <w:rsid w:val="008125FF"/>
    <w:rsid w:val="00835565"/>
    <w:rsid w:val="00851001"/>
    <w:rsid w:val="00867315"/>
    <w:rsid w:val="0087249B"/>
    <w:rsid w:val="00875DE3"/>
    <w:rsid w:val="00890DDF"/>
    <w:rsid w:val="00895246"/>
    <w:rsid w:val="008B25B8"/>
    <w:rsid w:val="008B265E"/>
    <w:rsid w:val="008B2E7B"/>
    <w:rsid w:val="008C2D59"/>
    <w:rsid w:val="008C71D1"/>
    <w:rsid w:val="008F1F79"/>
    <w:rsid w:val="008F6AF9"/>
    <w:rsid w:val="009075D6"/>
    <w:rsid w:val="00910D5C"/>
    <w:rsid w:val="00922A1C"/>
    <w:rsid w:val="009270DA"/>
    <w:rsid w:val="009352A5"/>
    <w:rsid w:val="00937445"/>
    <w:rsid w:val="00945B33"/>
    <w:rsid w:val="00970D5F"/>
    <w:rsid w:val="00984215"/>
    <w:rsid w:val="009B0EE1"/>
    <w:rsid w:val="009C3C19"/>
    <w:rsid w:val="009D4E34"/>
    <w:rsid w:val="009E3A44"/>
    <w:rsid w:val="00A1610B"/>
    <w:rsid w:val="00A1757A"/>
    <w:rsid w:val="00A56E45"/>
    <w:rsid w:val="00A6153A"/>
    <w:rsid w:val="00A86835"/>
    <w:rsid w:val="00A87272"/>
    <w:rsid w:val="00A94C4A"/>
    <w:rsid w:val="00A95A86"/>
    <w:rsid w:val="00AB24D8"/>
    <w:rsid w:val="00AC19FE"/>
    <w:rsid w:val="00AE0098"/>
    <w:rsid w:val="00B064B4"/>
    <w:rsid w:val="00B11518"/>
    <w:rsid w:val="00B15D15"/>
    <w:rsid w:val="00B437C8"/>
    <w:rsid w:val="00BA34F5"/>
    <w:rsid w:val="00BD636E"/>
    <w:rsid w:val="00BE3F58"/>
    <w:rsid w:val="00BE65EA"/>
    <w:rsid w:val="00BF1F81"/>
    <w:rsid w:val="00C113F6"/>
    <w:rsid w:val="00C22D84"/>
    <w:rsid w:val="00C41FBC"/>
    <w:rsid w:val="00C47D63"/>
    <w:rsid w:val="00C554C6"/>
    <w:rsid w:val="00C564FF"/>
    <w:rsid w:val="00C56603"/>
    <w:rsid w:val="00C7227A"/>
    <w:rsid w:val="00CA204D"/>
    <w:rsid w:val="00CA459F"/>
    <w:rsid w:val="00CB3B58"/>
    <w:rsid w:val="00CD705B"/>
    <w:rsid w:val="00D15F69"/>
    <w:rsid w:val="00D224E5"/>
    <w:rsid w:val="00D74BB3"/>
    <w:rsid w:val="00D87BFA"/>
    <w:rsid w:val="00D94239"/>
    <w:rsid w:val="00D95632"/>
    <w:rsid w:val="00DD0A36"/>
    <w:rsid w:val="00DE3C51"/>
    <w:rsid w:val="00DE7E82"/>
    <w:rsid w:val="00DF3FE0"/>
    <w:rsid w:val="00E612FB"/>
    <w:rsid w:val="00E65B64"/>
    <w:rsid w:val="00E72384"/>
    <w:rsid w:val="00E8224F"/>
    <w:rsid w:val="00EC10C7"/>
    <w:rsid w:val="00EC35DC"/>
    <w:rsid w:val="00EF1CB5"/>
    <w:rsid w:val="00EF4D09"/>
    <w:rsid w:val="00F20138"/>
    <w:rsid w:val="00F34443"/>
    <w:rsid w:val="00F6609B"/>
    <w:rsid w:val="00F81071"/>
    <w:rsid w:val="00F81BD8"/>
    <w:rsid w:val="00FA6E7C"/>
    <w:rsid w:val="00FB318E"/>
    <w:rsid w:val="00FD27AB"/>
    <w:rsid w:val="00FD3310"/>
    <w:rsid w:val="00FE3715"/>
    <w:rsid w:val="00FF2C6B"/>
    <w:rsid w:val="00FF7A3D"/>
    <w:rsid w:val="0EBE23D2"/>
    <w:rsid w:val="155C02B2"/>
    <w:rsid w:val="18C541D9"/>
    <w:rsid w:val="18DB6B43"/>
    <w:rsid w:val="1A961018"/>
    <w:rsid w:val="20053B39"/>
    <w:rsid w:val="26722525"/>
    <w:rsid w:val="2D04308E"/>
    <w:rsid w:val="36564BAA"/>
    <w:rsid w:val="3BD302F7"/>
    <w:rsid w:val="3BEE3ED7"/>
    <w:rsid w:val="45132C54"/>
    <w:rsid w:val="457A77CE"/>
    <w:rsid w:val="4F824317"/>
    <w:rsid w:val="53917B83"/>
    <w:rsid w:val="6148457B"/>
    <w:rsid w:val="65B67992"/>
    <w:rsid w:val="69F104DC"/>
    <w:rsid w:val="6C7A2FE9"/>
    <w:rsid w:val="6D3E6A9F"/>
    <w:rsid w:val="70180717"/>
    <w:rsid w:val="74756686"/>
    <w:rsid w:val="7A484E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563C1" w:themeColor="hyperlink"/>
      <w:u w:val="single"/>
    </w:rPr>
  </w:style>
  <w:style w:type="character" w:customStyle="1" w:styleId="7">
    <w:name w:val="页眉 Char"/>
    <w:basedOn w:val="4"/>
    <w:link w:val="3"/>
    <w:qFormat/>
    <w:uiPriority w:val="0"/>
    <w:rPr>
      <w:rFonts w:asciiTheme="minorHAnsi" w:hAnsiTheme="minorHAnsi" w:eastAsiaTheme="minorEastAsia" w:cstheme="minorBidi"/>
      <w:kern w:val="2"/>
      <w:sz w:val="18"/>
      <w:szCs w:val="18"/>
    </w:rPr>
  </w:style>
  <w:style w:type="character" w:customStyle="1" w:styleId="8">
    <w:name w:val="页脚 Char"/>
    <w:basedOn w:val="4"/>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290</Words>
  <Characters>1657</Characters>
  <Lines>13</Lines>
  <Paragraphs>3</Paragraphs>
  <ScaleCrop>false</ScaleCrop>
  <LinksUpToDate>false</LinksUpToDate>
  <CharactersWithSpaces>1944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2019-12-12T07:56:00Z</dcterms:created>
  <dc:creator>杨捷</dc:creator>
  <cp:lastModifiedBy>szj</cp:lastModifiedBy>
  <cp:lastPrinted>2021-01-18T09:28:48Z</cp:lastPrinted>
  <dcterms:modified xsi:type="dcterms:W3CDTF">2021-01-18T09:29:04Z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