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color w:val="333333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333333"/>
          <w:kern w:val="0"/>
          <w:sz w:val="44"/>
          <w:szCs w:val="44"/>
        </w:rPr>
        <w:t>北京市公安局</w:t>
      </w:r>
      <w:r>
        <w:rPr>
          <w:rFonts w:hint="eastAsia" w:ascii="方正小标宋简体" w:hAnsi="方正小标宋简体" w:eastAsia="方正小标宋简体" w:cs="方正小标宋简体"/>
          <w:bCs/>
          <w:color w:val="333333"/>
          <w:kern w:val="0"/>
          <w:sz w:val="44"/>
          <w:szCs w:val="44"/>
        </w:rPr>
        <w:t>石景山分局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color w:val="333333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333333"/>
          <w:kern w:val="0"/>
          <w:sz w:val="44"/>
          <w:szCs w:val="44"/>
        </w:rPr>
        <w:t>2020年政府信息公开工作年度报告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1320" w:firstLineChars="300"/>
        <w:textAlignment w:val="auto"/>
        <w:outlineLvl w:val="9"/>
        <w:rPr>
          <w:rFonts w:ascii="宋体" w:cs="宋体"/>
          <w:color w:val="333333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依据《中华人民共和国政府信息公开条例》第五十条之规定，制定本报告。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0" w:firstLineChars="210"/>
        <w:textAlignment w:val="auto"/>
        <w:outlineLvl w:val="9"/>
        <w:rPr>
          <w:rFonts w:ascii="黑体" w:hAnsi="黑体" w:eastAsia="黑体" w:cs="宋体"/>
          <w:color w:val="333333"/>
          <w:kern w:val="0"/>
          <w:sz w:val="30"/>
          <w:szCs w:val="30"/>
        </w:rPr>
      </w:pPr>
      <w:r>
        <w:rPr>
          <w:rFonts w:hint="eastAsia" w:ascii="黑体" w:hAnsi="黑体" w:eastAsia="黑体" w:cs="宋体"/>
          <w:bCs/>
          <w:color w:val="333333"/>
          <w:kern w:val="0"/>
          <w:sz w:val="30"/>
          <w:szCs w:val="30"/>
        </w:rPr>
        <w:t>一、总体情况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>2020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年，石景山分局按照市局统一部署，在市局政府信息公开办公室的指导下，认真贯彻落实《中华人民共和国政府信息公开条例》和国务院、市政府关于政府信息公开的各项部署要求，坚持以公开为原则、以不公开为例外，把政府信息公开作为加强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val="en-US" w:eastAsia="zh-CN"/>
        </w:rPr>
        <w:t>全面</w:t>
      </w:r>
      <w:bookmarkStart w:id="0" w:name="_GoBack"/>
      <w:bookmarkEnd w:id="0"/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从严治党建设、提高工作效能的重要举措，保证了</w:t>
      </w: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>2020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年政府信息公开工作有序推进。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一年来，石景山分局不断拓宽公开渠道，创新政府信息公开载体形式，依托平安石景山微博、石警官微信公众号、平安石景山今日头条等新媒体，主动回应社会关切，政府信息公开的范围不断扩展、内容日渐丰富，取得了显著成效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textAlignment w:val="auto"/>
        <w:outlineLvl w:val="9"/>
        <w:rPr>
          <w:rFonts w:hint="eastAsia" w:ascii="楷体_GB2312" w:hAnsi="楷体_GB2312" w:eastAsia="楷体_GB2312" w:cs="楷体_GB2312"/>
          <w:b/>
          <w:bCs/>
          <w:color w:val="333333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333333"/>
          <w:kern w:val="0"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 w:cs="楷体_GB2312"/>
          <w:b/>
          <w:bCs/>
          <w:color w:val="333333"/>
          <w:kern w:val="0"/>
          <w:sz w:val="32"/>
          <w:szCs w:val="32"/>
        </w:rPr>
        <w:t>组织领导情况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color w:val="333333"/>
          <w:kern w:val="0"/>
          <w:sz w:val="32"/>
          <w:szCs w:val="32"/>
        </w:rPr>
        <w:t>为确保信息公开落到实处，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按照市局要求成立分局政府信息公开领导小组，办公室设在法制支队，并指定了专门人员管理和落实此项工作，积极与上级对接，形成了上下联动、覆盖面广的信息公开工作体系。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textAlignment w:val="auto"/>
        <w:outlineLvl w:val="9"/>
        <w:rPr>
          <w:rFonts w:hint="eastAsia" w:ascii="楷体_GB2312" w:hAnsi="楷体_GB2312" w:eastAsia="楷体_GB2312" w:cs="楷体_GB2312"/>
          <w:b/>
          <w:bCs/>
          <w:color w:val="333333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333333"/>
          <w:kern w:val="0"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/>
          <w:bCs/>
          <w:color w:val="333333"/>
          <w:kern w:val="0"/>
          <w:sz w:val="32"/>
          <w:szCs w:val="32"/>
        </w:rPr>
        <w:t>政府信息公开情况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黑体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>2020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年，我分</w:t>
      </w:r>
      <w:r>
        <w:rPr>
          <w:rFonts w:hint="eastAsia" w:ascii="仿宋_GB2312" w:hAnsi="黑体" w:eastAsia="仿宋_GB2312" w:cs="宋体"/>
          <w:color w:val="333333"/>
          <w:kern w:val="0"/>
          <w:sz w:val="32"/>
          <w:szCs w:val="32"/>
        </w:rPr>
        <w:t>局没有主动公开的政府信息，依申请公开政府信息</w:t>
      </w:r>
      <w:r>
        <w:rPr>
          <w:rFonts w:ascii="仿宋_GB2312" w:hAnsi="黑体" w:eastAsia="仿宋_GB2312" w:cs="宋体"/>
          <w:kern w:val="0"/>
          <w:sz w:val="32"/>
          <w:szCs w:val="32"/>
        </w:rPr>
        <w:t>14</w:t>
      </w:r>
      <w:r>
        <w:rPr>
          <w:rFonts w:hint="eastAsia" w:ascii="仿宋_GB2312" w:hAnsi="黑体" w:eastAsia="仿宋_GB2312" w:cs="宋体"/>
          <w:color w:val="333333"/>
          <w:kern w:val="0"/>
          <w:sz w:val="32"/>
          <w:szCs w:val="32"/>
        </w:rPr>
        <w:t>件。全年共办结</w:t>
      </w:r>
      <w:r>
        <w:rPr>
          <w:rFonts w:ascii="仿宋_GB2312" w:hAnsi="黑体" w:eastAsia="仿宋_GB2312" w:cs="宋体"/>
          <w:color w:val="333333"/>
          <w:kern w:val="0"/>
          <w:sz w:val="32"/>
          <w:szCs w:val="32"/>
        </w:rPr>
        <w:t>11</w:t>
      </w:r>
      <w:r>
        <w:rPr>
          <w:rFonts w:hint="eastAsia" w:ascii="仿宋_GB2312" w:hAnsi="黑体" w:eastAsia="仿宋_GB2312" w:cs="宋体"/>
          <w:color w:val="333333"/>
          <w:kern w:val="0"/>
          <w:sz w:val="32"/>
          <w:szCs w:val="32"/>
        </w:rPr>
        <w:t>件。其中，“予以公开”</w:t>
      </w:r>
      <w:r>
        <w:rPr>
          <w:rFonts w:ascii="仿宋_GB2312" w:hAnsi="黑体" w:eastAsia="仿宋_GB2312" w:cs="宋体"/>
          <w:color w:val="333333"/>
          <w:kern w:val="0"/>
          <w:sz w:val="32"/>
          <w:szCs w:val="32"/>
        </w:rPr>
        <w:t>1</w:t>
      </w:r>
      <w:r>
        <w:rPr>
          <w:rFonts w:hint="eastAsia" w:ascii="仿宋_GB2312" w:hAnsi="黑体" w:eastAsia="仿宋_GB2312" w:cs="宋体"/>
          <w:color w:val="333333"/>
          <w:kern w:val="0"/>
          <w:sz w:val="32"/>
          <w:szCs w:val="32"/>
        </w:rPr>
        <w:t>件，占总数</w:t>
      </w:r>
      <w:r>
        <w:rPr>
          <w:rFonts w:ascii="仿宋_GB2312" w:hAnsi="黑体" w:eastAsia="仿宋_GB2312" w:cs="宋体"/>
          <w:color w:val="333333"/>
          <w:kern w:val="0"/>
          <w:sz w:val="32"/>
          <w:szCs w:val="32"/>
        </w:rPr>
        <w:t>9%</w:t>
      </w:r>
      <w:r>
        <w:rPr>
          <w:rFonts w:hint="eastAsia" w:ascii="仿宋_GB2312" w:hAnsi="黑体" w:eastAsia="仿宋_GB2312" w:cs="宋体"/>
          <w:color w:val="333333"/>
          <w:kern w:val="0"/>
          <w:sz w:val="32"/>
          <w:szCs w:val="32"/>
        </w:rPr>
        <w:t>；“不予公开</w:t>
      </w:r>
      <w:r>
        <w:rPr>
          <w:rFonts w:ascii="仿宋_GB2312" w:hAnsi="黑体" w:eastAsia="仿宋_GB2312" w:cs="宋体"/>
          <w:color w:val="333333"/>
          <w:kern w:val="0"/>
          <w:sz w:val="32"/>
          <w:szCs w:val="32"/>
        </w:rPr>
        <w:t>3</w:t>
      </w:r>
      <w:r>
        <w:rPr>
          <w:rFonts w:hint="eastAsia" w:ascii="仿宋_GB2312" w:hAnsi="黑体" w:eastAsia="仿宋_GB2312" w:cs="宋体"/>
          <w:color w:val="333333"/>
          <w:kern w:val="0"/>
          <w:sz w:val="32"/>
          <w:szCs w:val="32"/>
        </w:rPr>
        <w:t>件，占总数</w:t>
      </w:r>
      <w:r>
        <w:rPr>
          <w:rFonts w:ascii="仿宋_GB2312" w:hAnsi="黑体" w:eastAsia="仿宋_GB2312" w:cs="宋体"/>
          <w:color w:val="333333"/>
          <w:kern w:val="0"/>
          <w:sz w:val="32"/>
          <w:szCs w:val="32"/>
        </w:rPr>
        <w:t>27.3%</w:t>
      </w:r>
      <w:r>
        <w:rPr>
          <w:rFonts w:hint="eastAsia" w:ascii="仿宋_GB2312" w:hAnsi="黑体" w:eastAsia="仿宋_GB2312" w:cs="宋体"/>
          <w:color w:val="333333"/>
          <w:kern w:val="0"/>
          <w:sz w:val="32"/>
          <w:szCs w:val="32"/>
        </w:rPr>
        <w:t>；“无法提供”</w:t>
      </w:r>
      <w:r>
        <w:rPr>
          <w:rFonts w:ascii="仿宋_GB2312" w:hAnsi="黑体" w:eastAsia="仿宋_GB2312" w:cs="宋体"/>
          <w:color w:val="333333"/>
          <w:kern w:val="0"/>
          <w:sz w:val="32"/>
          <w:szCs w:val="32"/>
        </w:rPr>
        <w:t>7</w:t>
      </w:r>
      <w:r>
        <w:rPr>
          <w:rFonts w:hint="eastAsia" w:ascii="仿宋_GB2312" w:hAnsi="黑体" w:eastAsia="仿宋_GB2312" w:cs="宋体"/>
          <w:color w:val="333333"/>
          <w:kern w:val="0"/>
          <w:sz w:val="32"/>
          <w:szCs w:val="32"/>
        </w:rPr>
        <w:t>件，占总数</w:t>
      </w:r>
      <w:r>
        <w:rPr>
          <w:rFonts w:ascii="仿宋_GB2312" w:hAnsi="黑体" w:eastAsia="仿宋_GB2312" w:cs="宋体"/>
          <w:color w:val="333333"/>
          <w:kern w:val="0"/>
          <w:sz w:val="32"/>
          <w:szCs w:val="32"/>
        </w:rPr>
        <w:t>63.6%</w:t>
      </w:r>
      <w:r>
        <w:rPr>
          <w:rFonts w:hint="eastAsia" w:ascii="仿宋_GB2312" w:hAnsi="黑体" w:eastAsia="仿宋_GB2312" w:cs="宋体"/>
          <w:color w:val="333333"/>
          <w:kern w:val="0"/>
          <w:sz w:val="32"/>
          <w:szCs w:val="32"/>
        </w:rPr>
        <w:t>（本机关不掌握相关政府信息</w:t>
      </w:r>
      <w:r>
        <w:rPr>
          <w:rFonts w:ascii="仿宋_GB2312" w:hAnsi="黑体" w:eastAsia="仿宋_GB2312" w:cs="宋体"/>
          <w:color w:val="333333"/>
          <w:kern w:val="0"/>
          <w:sz w:val="32"/>
          <w:szCs w:val="32"/>
        </w:rPr>
        <w:t>2</w:t>
      </w:r>
      <w:r>
        <w:rPr>
          <w:rFonts w:hint="eastAsia" w:ascii="仿宋_GB2312" w:hAnsi="黑体" w:eastAsia="仿宋_GB2312" w:cs="宋体"/>
          <w:color w:val="333333"/>
          <w:kern w:val="0"/>
          <w:sz w:val="32"/>
          <w:szCs w:val="32"/>
        </w:rPr>
        <w:t>件，补正后申请内容仍不明确的</w:t>
      </w:r>
      <w:r>
        <w:rPr>
          <w:rFonts w:ascii="仿宋_GB2312" w:hAnsi="黑体" w:eastAsia="仿宋_GB2312" w:cs="宋体"/>
          <w:color w:val="333333"/>
          <w:kern w:val="0"/>
          <w:sz w:val="32"/>
          <w:szCs w:val="32"/>
        </w:rPr>
        <w:t>10</w:t>
      </w:r>
      <w:r>
        <w:rPr>
          <w:rFonts w:hint="eastAsia" w:ascii="仿宋_GB2312" w:hAnsi="黑体" w:eastAsia="仿宋_GB2312" w:cs="宋体"/>
          <w:color w:val="333333"/>
          <w:kern w:val="0"/>
          <w:sz w:val="32"/>
          <w:szCs w:val="32"/>
        </w:rPr>
        <w:t>件）。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textAlignment w:val="auto"/>
        <w:outlineLvl w:val="9"/>
        <w:rPr>
          <w:rFonts w:hint="eastAsia" w:ascii="楷体_GB2312" w:hAnsi="楷体_GB2312" w:eastAsia="楷体_GB2312" w:cs="楷体_GB2312"/>
          <w:b/>
          <w:bCs/>
          <w:color w:val="333333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333333"/>
          <w:kern w:val="0"/>
          <w:sz w:val="32"/>
          <w:szCs w:val="32"/>
          <w:lang w:eastAsia="zh-CN"/>
        </w:rPr>
        <w:t>（三）</w:t>
      </w:r>
      <w:r>
        <w:rPr>
          <w:rFonts w:hint="eastAsia" w:ascii="楷体_GB2312" w:hAnsi="楷体_GB2312" w:eastAsia="楷体_GB2312" w:cs="楷体_GB2312"/>
          <w:b/>
          <w:bCs/>
          <w:color w:val="333333"/>
          <w:kern w:val="0"/>
          <w:sz w:val="32"/>
          <w:szCs w:val="32"/>
        </w:rPr>
        <w:t>教育培训及监督保障情况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color w:val="333333"/>
          <w:kern w:val="0"/>
          <w:sz w:val="32"/>
          <w:szCs w:val="32"/>
        </w:rPr>
        <w:t>我局设有政府信息公开机构</w:t>
      </w:r>
      <w:r>
        <w:rPr>
          <w:rFonts w:ascii="仿宋_GB2312" w:hAnsi="黑体" w:eastAsia="仿宋_GB2312" w:cs="宋体"/>
          <w:color w:val="333333"/>
          <w:kern w:val="0"/>
          <w:sz w:val="32"/>
          <w:szCs w:val="32"/>
        </w:rPr>
        <w:t>1</w:t>
      </w:r>
      <w:r>
        <w:rPr>
          <w:rFonts w:hint="eastAsia" w:ascii="仿宋_GB2312" w:hAnsi="黑体" w:eastAsia="仿宋_GB2312" w:cs="宋体"/>
          <w:color w:val="333333"/>
          <w:kern w:val="0"/>
          <w:sz w:val="32"/>
          <w:szCs w:val="32"/>
        </w:rPr>
        <w:t>个，从事政府信息公开工作人员</w:t>
      </w:r>
      <w:r>
        <w:rPr>
          <w:rFonts w:ascii="仿宋_GB2312" w:hAnsi="黑体" w:eastAsia="仿宋_GB2312" w:cs="宋体"/>
          <w:color w:val="333333"/>
          <w:kern w:val="0"/>
          <w:sz w:val="32"/>
          <w:szCs w:val="32"/>
        </w:rPr>
        <w:t>2</w:t>
      </w:r>
      <w:r>
        <w:rPr>
          <w:rFonts w:hint="eastAsia" w:ascii="仿宋_GB2312" w:hAnsi="黑体" w:eastAsia="仿宋_GB2312" w:cs="宋体"/>
          <w:color w:val="333333"/>
          <w:kern w:val="0"/>
          <w:sz w:val="32"/>
          <w:szCs w:val="32"/>
        </w:rPr>
        <w:t>名。其中，专职人员</w:t>
      </w:r>
      <w:r>
        <w:rPr>
          <w:rFonts w:ascii="仿宋_GB2312" w:hAnsi="黑体" w:eastAsia="仿宋_GB2312" w:cs="宋体"/>
          <w:color w:val="333333"/>
          <w:kern w:val="0"/>
          <w:sz w:val="32"/>
          <w:szCs w:val="32"/>
        </w:rPr>
        <w:t>1</w:t>
      </w:r>
      <w:r>
        <w:rPr>
          <w:rFonts w:hint="eastAsia" w:ascii="仿宋_GB2312" w:hAnsi="黑体" w:eastAsia="仿宋_GB2312" w:cs="宋体"/>
          <w:color w:val="333333"/>
          <w:kern w:val="0"/>
          <w:sz w:val="32"/>
          <w:szCs w:val="32"/>
        </w:rPr>
        <w:t>名，兼职人员</w:t>
      </w:r>
      <w:r>
        <w:rPr>
          <w:rFonts w:ascii="仿宋_GB2312" w:hAnsi="黑体" w:eastAsia="仿宋_GB2312" w:cs="宋体"/>
          <w:color w:val="333333"/>
          <w:kern w:val="0"/>
          <w:sz w:val="32"/>
          <w:szCs w:val="32"/>
        </w:rPr>
        <w:t>1</w:t>
      </w:r>
      <w:r>
        <w:rPr>
          <w:rFonts w:hint="eastAsia" w:ascii="仿宋_GB2312" w:hAnsi="黑体" w:eastAsia="仿宋_GB2312" w:cs="宋体"/>
          <w:color w:val="333333"/>
          <w:kern w:val="0"/>
          <w:sz w:val="32"/>
          <w:szCs w:val="32"/>
        </w:rPr>
        <w:t>名，政府信息公开机构召开工作会议或专题会议</w:t>
      </w:r>
      <w:r>
        <w:rPr>
          <w:rFonts w:ascii="仿宋_GB2312" w:hAnsi="黑体" w:eastAsia="仿宋_GB2312" w:cs="宋体"/>
          <w:color w:val="333333"/>
          <w:kern w:val="0"/>
          <w:sz w:val="32"/>
          <w:szCs w:val="32"/>
        </w:rPr>
        <w:t>15</w:t>
      </w:r>
      <w:r>
        <w:rPr>
          <w:rFonts w:hint="eastAsia" w:ascii="仿宋_GB2312" w:hAnsi="黑体" w:eastAsia="仿宋_GB2312" w:cs="宋体"/>
          <w:color w:val="333333"/>
          <w:kern w:val="0"/>
          <w:sz w:val="32"/>
          <w:szCs w:val="32"/>
        </w:rPr>
        <w:t>次，举办培训</w:t>
      </w:r>
      <w:r>
        <w:rPr>
          <w:rFonts w:ascii="仿宋_GB2312" w:hAnsi="黑体" w:eastAsia="仿宋_GB2312" w:cs="宋体"/>
          <w:color w:val="333333"/>
          <w:kern w:val="0"/>
          <w:sz w:val="32"/>
          <w:szCs w:val="32"/>
        </w:rPr>
        <w:t>1</w:t>
      </w:r>
      <w:r>
        <w:rPr>
          <w:rFonts w:hint="eastAsia" w:ascii="仿宋_GB2312" w:hAnsi="黑体" w:eastAsia="仿宋_GB2312" w:cs="宋体"/>
          <w:color w:val="333333"/>
          <w:kern w:val="0"/>
          <w:sz w:val="32"/>
          <w:szCs w:val="32"/>
        </w:rPr>
        <w:t>次，培训人员</w:t>
      </w:r>
      <w:r>
        <w:rPr>
          <w:rFonts w:ascii="仿宋_GB2312" w:hAnsi="黑体" w:eastAsia="仿宋_GB2312" w:cs="宋体"/>
          <w:color w:val="333333"/>
          <w:kern w:val="0"/>
          <w:sz w:val="32"/>
          <w:szCs w:val="32"/>
        </w:rPr>
        <w:t>10</w:t>
      </w:r>
      <w:r>
        <w:rPr>
          <w:rFonts w:hint="eastAsia" w:ascii="仿宋_GB2312" w:hAnsi="黑体" w:eastAsia="仿宋_GB2312" w:cs="宋体"/>
          <w:color w:val="333333"/>
          <w:kern w:val="0"/>
          <w:sz w:val="32"/>
          <w:szCs w:val="32"/>
        </w:rPr>
        <w:t>人次。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黑体" w:hAnsi="黑体" w:eastAsia="黑体" w:cs="宋体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kern w:val="0"/>
          <w:sz w:val="32"/>
          <w:szCs w:val="32"/>
        </w:rPr>
        <w:t>二、主动公开政府信息情况</w:t>
      </w:r>
    </w:p>
    <w:tbl>
      <w:tblPr>
        <w:tblStyle w:val="6"/>
        <w:tblpPr w:leftFromText="180" w:rightFromText="180" w:vertAnchor="text" w:horzAnchor="page" w:tblpX="1480" w:tblpY="391"/>
        <w:tblOverlap w:val="never"/>
        <w:tblW w:w="91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23"/>
        <w:gridCol w:w="1875"/>
        <w:gridCol w:w="6"/>
        <w:gridCol w:w="1265"/>
        <w:gridCol w:w="262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919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第二十条第（一）项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34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公开数量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对外公开总数量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34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34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195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第二十条第（五）项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34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本年增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减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34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11187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34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342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行政检查5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266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342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行政确认5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9195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第二十条第（六）项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34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本年增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减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34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2429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34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6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919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第二十条第（八）项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4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389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本年增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4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3891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9195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第二十条第（九）项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34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采购项目数量</w:t>
            </w:r>
          </w:p>
        </w:tc>
        <w:tc>
          <w:tcPr>
            <w:tcW w:w="389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采购总金额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34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891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10809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，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2124.72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万元</w:t>
            </w:r>
          </w:p>
        </w:tc>
      </w:tr>
    </w:tbl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宋体" w:cs="宋体"/>
          <w:color w:val="333333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/>
        <w:textAlignment w:val="auto"/>
        <w:outlineLvl w:val="9"/>
        <w:rPr>
          <w:rFonts w:ascii="黑体" w:hAnsi="黑体" w:eastAsia="黑体" w:cs="宋体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kern w:val="0"/>
          <w:sz w:val="32"/>
          <w:szCs w:val="32"/>
        </w:rPr>
        <w:t>三、收到和处理政府信息公开申请情况</w:t>
      </w:r>
    </w:p>
    <w:tbl>
      <w:tblPr>
        <w:tblStyle w:val="6"/>
        <w:tblpPr w:leftFromText="180" w:rightFromText="180" w:vertAnchor="text" w:tblpXSpec="center" w:tblpY="1"/>
        <w:tblOverlap w:val="never"/>
        <w:tblW w:w="9195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7"/>
        <w:gridCol w:w="688"/>
        <w:gridCol w:w="2580"/>
        <w:gridCol w:w="485"/>
        <w:gridCol w:w="801"/>
        <w:gridCol w:w="801"/>
        <w:gridCol w:w="801"/>
        <w:gridCol w:w="801"/>
        <w:gridCol w:w="803"/>
        <w:gridCol w:w="81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885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5310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申请人情况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885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8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自然人</w:t>
            </w:r>
          </w:p>
        </w:tc>
        <w:tc>
          <w:tcPr>
            <w:tcW w:w="400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法人或其他组织</w:t>
            </w:r>
          </w:p>
        </w:tc>
        <w:tc>
          <w:tcPr>
            <w:tcW w:w="81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885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8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商业企业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科研机构</w:t>
            </w:r>
          </w:p>
        </w:tc>
        <w:tc>
          <w:tcPr>
            <w:tcW w:w="8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社会公益组织</w:t>
            </w:r>
          </w:p>
        </w:tc>
        <w:tc>
          <w:tcPr>
            <w:tcW w:w="8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法律服务机构</w:t>
            </w:r>
          </w:p>
        </w:tc>
        <w:tc>
          <w:tcPr>
            <w:tcW w:w="80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</w:t>
            </w:r>
          </w:p>
        </w:tc>
        <w:tc>
          <w:tcPr>
            <w:tcW w:w="81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885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885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三、本年度办理结果</w:t>
            </w:r>
          </w:p>
        </w:tc>
        <w:tc>
          <w:tcPr>
            <w:tcW w:w="326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（一）予以公开</w:t>
            </w:r>
          </w:p>
        </w:tc>
        <w:tc>
          <w:tcPr>
            <w:tcW w:w="4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（二）部分公开（区分处理的，只计这一情形，不计其他情形）</w:t>
            </w:r>
          </w:p>
        </w:tc>
        <w:tc>
          <w:tcPr>
            <w:tcW w:w="4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（三）不予公开</w:t>
            </w:r>
          </w:p>
        </w:tc>
        <w:tc>
          <w:tcPr>
            <w:tcW w:w="2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1.属于国家秘密</w:t>
            </w:r>
          </w:p>
        </w:tc>
        <w:tc>
          <w:tcPr>
            <w:tcW w:w="4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2.其他法律行政法规禁止公开</w:t>
            </w:r>
          </w:p>
        </w:tc>
        <w:tc>
          <w:tcPr>
            <w:tcW w:w="4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3.危及“三安全一稳定”</w:t>
            </w:r>
          </w:p>
        </w:tc>
        <w:tc>
          <w:tcPr>
            <w:tcW w:w="4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4.保护第三方合法权益</w:t>
            </w:r>
          </w:p>
        </w:tc>
        <w:tc>
          <w:tcPr>
            <w:tcW w:w="4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5.属于三类内部事务信息</w:t>
            </w:r>
          </w:p>
        </w:tc>
        <w:tc>
          <w:tcPr>
            <w:tcW w:w="4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6.属于四类过程性信息</w:t>
            </w:r>
          </w:p>
        </w:tc>
        <w:tc>
          <w:tcPr>
            <w:tcW w:w="4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7.属于行政执法案卷</w:t>
            </w:r>
          </w:p>
        </w:tc>
        <w:tc>
          <w:tcPr>
            <w:tcW w:w="4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8.属于行政查询事项</w:t>
            </w:r>
          </w:p>
        </w:tc>
        <w:tc>
          <w:tcPr>
            <w:tcW w:w="4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8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（四）无法提供</w:t>
            </w:r>
          </w:p>
        </w:tc>
        <w:tc>
          <w:tcPr>
            <w:tcW w:w="2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1.本机关不掌握相关政府信息</w:t>
            </w:r>
          </w:p>
        </w:tc>
        <w:tc>
          <w:tcPr>
            <w:tcW w:w="4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2.没有现成信息需要另行制作</w:t>
            </w:r>
          </w:p>
        </w:tc>
        <w:tc>
          <w:tcPr>
            <w:tcW w:w="4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3.补正后申请内容仍不明确</w:t>
            </w:r>
          </w:p>
        </w:tc>
        <w:tc>
          <w:tcPr>
            <w:tcW w:w="4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8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（五）不予处理</w:t>
            </w:r>
          </w:p>
        </w:tc>
        <w:tc>
          <w:tcPr>
            <w:tcW w:w="2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1.信访举报投诉类申请</w:t>
            </w:r>
          </w:p>
        </w:tc>
        <w:tc>
          <w:tcPr>
            <w:tcW w:w="4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2.重复申请</w:t>
            </w:r>
          </w:p>
        </w:tc>
        <w:tc>
          <w:tcPr>
            <w:tcW w:w="4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3.要求提供公开出版物</w:t>
            </w:r>
          </w:p>
        </w:tc>
        <w:tc>
          <w:tcPr>
            <w:tcW w:w="4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4.无正当理由大量反复申请</w:t>
            </w:r>
          </w:p>
        </w:tc>
        <w:tc>
          <w:tcPr>
            <w:tcW w:w="48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8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326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（六）其他处理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326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（七）总计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885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四、结转下年度继续办理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</w:tr>
    </w:tbl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20" w:firstLineChars="100"/>
        <w:textAlignment w:val="auto"/>
        <w:outlineLvl w:val="9"/>
        <w:rPr>
          <w:rFonts w:ascii="黑体" w:hAnsi="黑体" w:eastAsia="黑体" w:cs="宋体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kern w:val="0"/>
          <w:sz w:val="32"/>
          <w:szCs w:val="32"/>
        </w:rPr>
        <w:t>四、政府信息公开行政复议、行政诉讼情况</w:t>
      </w:r>
    </w:p>
    <w:tbl>
      <w:tblPr>
        <w:tblStyle w:val="6"/>
        <w:tblW w:w="9071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行政诉讼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复议后起诉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2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0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0"/>
                <w:szCs w:val="20"/>
              </w:rPr>
              <w:t> 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0"/>
                <w:szCs w:val="20"/>
              </w:rPr>
              <w:t> 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0"/>
                <w:szCs w:val="20"/>
              </w:rPr>
              <w:t> 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0"/>
                <w:szCs w:val="20"/>
              </w:rPr>
              <w:t>0 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 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0"/>
                <w:szCs w:val="20"/>
              </w:rPr>
              <w:t>0 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0"/>
                <w:szCs w:val="20"/>
              </w:rPr>
              <w:t> 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 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0"/>
                <w:szCs w:val="20"/>
              </w:rPr>
              <w:t> 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</w:tbl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/>
        <w:textAlignment w:val="auto"/>
        <w:outlineLvl w:val="9"/>
        <w:rPr>
          <w:rFonts w:ascii="黑体" w:hAnsi="黑体" w:eastAsia="黑体" w:cs="宋体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kern w:val="0"/>
          <w:sz w:val="32"/>
          <w:szCs w:val="32"/>
        </w:rPr>
        <w:t>五、存在的主要问题及改进情况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/>
        <w:textAlignment w:val="auto"/>
        <w:outlineLvl w:val="9"/>
        <w:rPr>
          <w:rFonts w:hint="eastAsia" w:ascii="楷体_GB2312" w:hAnsi="楷体_GB2312" w:eastAsia="楷体_GB2312" w:cs="楷体_GB2312"/>
          <w:b/>
          <w:bCs/>
          <w:color w:val="333333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333333"/>
          <w:kern w:val="0"/>
          <w:sz w:val="32"/>
          <w:szCs w:val="32"/>
        </w:rPr>
        <w:t>（一）存在的主要问题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/>
        <w:textAlignment w:val="auto"/>
        <w:outlineLvl w:val="9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一方面，思想认识还不到位。有的民警对《中华人民共和国政府信息公开条例》的重要性和必要性认识还不到位，理解还不深刻，适用还不规范。另一方面，业务能力还存在不足。政府信息公开工作的专兼职干部队伍在能力上还需要提高，业务需要进一步加强，素质需进一步提升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/>
        <w:textAlignment w:val="auto"/>
        <w:outlineLvl w:val="9"/>
        <w:rPr>
          <w:rFonts w:hint="eastAsia" w:ascii="楷体_GB2312" w:hAnsi="楷体_GB2312" w:eastAsia="楷体_GB2312" w:cs="楷体_GB2312"/>
          <w:b/>
          <w:bCs/>
          <w:color w:val="333333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333333"/>
          <w:kern w:val="0"/>
          <w:sz w:val="32"/>
          <w:szCs w:val="32"/>
        </w:rPr>
        <w:t>改进情况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一是强化公开力度。进一步加大政府信息公开的工作力度，努力回应群众期待，在做好主动公开的基础上，充分发挥新媒体平台作用，切实保障群众的知情权。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二是强化培训力度。进一步加大对《中华人民共和国政府信息公开条例》的培训力度，提高政府信息公开工作专兼职干部的能力，提高办理政府信息公开工作的水平。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/>
        <w:textAlignment w:val="auto"/>
        <w:outlineLvl w:val="9"/>
        <w:rPr>
          <w:rFonts w:ascii="黑体" w:hAnsi="黑体" w:eastAsia="黑体" w:cs="宋体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kern w:val="0"/>
          <w:sz w:val="32"/>
          <w:szCs w:val="32"/>
        </w:rPr>
        <w:t>六、其他需要报告的事项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/>
        <w:textAlignment w:val="auto"/>
        <w:outlineLvl w:val="9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无。</w:t>
      </w:r>
      <w:r>
        <w:rPr>
          <w:rFonts w:ascii="仿宋_GB2312" w:hAnsi="仿宋" w:eastAsia="仿宋_GB2312"/>
          <w:bCs/>
          <w:sz w:val="32"/>
          <w:szCs w:val="32"/>
        </w:rPr>
        <w:t xml:space="preserve">  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szCs w:val="18"/>
                    <w:lang w:eastAsia="zh-CN"/>
                  </w:rPr>
                </w:pPr>
                <w:r>
                  <w:rPr>
                    <w:rFonts w:hint="eastAsia"/>
                    <w:sz w:val="18"/>
                    <w:szCs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szCs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szCs w:val="18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18"/>
                    <w:szCs w:val="18"/>
                    <w:lang w:eastAsia="zh-CN"/>
                  </w:rPr>
                  <w:t>1</w:t>
                </w:r>
                <w:r>
                  <w:rPr>
                    <w:rFonts w:hint="eastAsia"/>
                    <w:sz w:val="18"/>
                    <w:szCs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FEBCDD"/>
    <w:multiLevelType w:val="singleLevel"/>
    <w:tmpl w:val="5FFEBCDD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2458"/>
    <w:rsid w:val="00023C15"/>
    <w:rsid w:val="00085A9B"/>
    <w:rsid w:val="000D3DA3"/>
    <w:rsid w:val="001A5D97"/>
    <w:rsid w:val="001D3DB1"/>
    <w:rsid w:val="001E2C7C"/>
    <w:rsid w:val="001E78DE"/>
    <w:rsid w:val="0027276B"/>
    <w:rsid w:val="002B4D85"/>
    <w:rsid w:val="00372ACC"/>
    <w:rsid w:val="00374832"/>
    <w:rsid w:val="00401C4F"/>
    <w:rsid w:val="004B041A"/>
    <w:rsid w:val="005842AE"/>
    <w:rsid w:val="00617EEC"/>
    <w:rsid w:val="00632458"/>
    <w:rsid w:val="00641294"/>
    <w:rsid w:val="00660024"/>
    <w:rsid w:val="00672182"/>
    <w:rsid w:val="0073637F"/>
    <w:rsid w:val="00785C9C"/>
    <w:rsid w:val="007C3E5C"/>
    <w:rsid w:val="007C4165"/>
    <w:rsid w:val="007D14EE"/>
    <w:rsid w:val="007E4CFD"/>
    <w:rsid w:val="00800520"/>
    <w:rsid w:val="00812D9E"/>
    <w:rsid w:val="008207A7"/>
    <w:rsid w:val="008A1EF9"/>
    <w:rsid w:val="008D77A5"/>
    <w:rsid w:val="009D4540"/>
    <w:rsid w:val="009F6BB4"/>
    <w:rsid w:val="00A00A6A"/>
    <w:rsid w:val="00A06B7D"/>
    <w:rsid w:val="00A505DC"/>
    <w:rsid w:val="00A9619C"/>
    <w:rsid w:val="00AD7114"/>
    <w:rsid w:val="00B00B1D"/>
    <w:rsid w:val="00BC33A5"/>
    <w:rsid w:val="00C03C9F"/>
    <w:rsid w:val="00C11CCC"/>
    <w:rsid w:val="00C45294"/>
    <w:rsid w:val="00C53884"/>
    <w:rsid w:val="00C9649F"/>
    <w:rsid w:val="00CA6564"/>
    <w:rsid w:val="00D03095"/>
    <w:rsid w:val="00D33954"/>
    <w:rsid w:val="00D9759A"/>
    <w:rsid w:val="00DD4FB5"/>
    <w:rsid w:val="00E23794"/>
    <w:rsid w:val="00E518A9"/>
    <w:rsid w:val="00E64316"/>
    <w:rsid w:val="00E82B55"/>
    <w:rsid w:val="00EB4595"/>
    <w:rsid w:val="00ED7678"/>
    <w:rsid w:val="00EE2763"/>
    <w:rsid w:val="00F46812"/>
    <w:rsid w:val="00FE7CD6"/>
    <w:rsid w:val="3C7D73C9"/>
    <w:rsid w:val="495E48BF"/>
    <w:rsid w:val="524D222B"/>
    <w:rsid w:val="652B251D"/>
    <w:rsid w:val="695E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7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380</Words>
  <Characters>2167</Characters>
  <Lines>18</Lines>
  <Paragraphs>5</Paragraphs>
  <TotalTime>0</TotalTime>
  <ScaleCrop>false</ScaleCrop>
  <LinksUpToDate>false</LinksUpToDate>
  <CharactersWithSpaces>2542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2021-01-07T05:05:00Z</dcterms:created>
  <dc:creator>wangpeng</dc:creator>
  <cp:lastModifiedBy>Administrator</cp:lastModifiedBy>
  <cp:lastPrinted>2021-01-08T08:29:00Z</cp:lastPrinted>
  <dcterms:modified xsi:type="dcterms:W3CDTF">2024-04-18T07:40:01Z</dcterms:modified>
  <dc:title>北京市公安局石景山分局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