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Cs/>
          <w:sz w:val="44"/>
          <w:szCs w:val="44"/>
        </w:rPr>
      </w:pPr>
    </w:p>
    <w:p>
      <w:pPr>
        <w:spacing w:line="560" w:lineRule="exact"/>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北京市公安局顺义分局</w:t>
      </w:r>
    </w:p>
    <w:p>
      <w:pPr>
        <w:spacing w:line="560" w:lineRule="exact"/>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bCs/>
          <w:sz w:val="44"/>
          <w:szCs w:val="44"/>
        </w:rPr>
        <w:t>2022年政府信息公开工作年度报告</w:t>
      </w:r>
    </w:p>
    <w:p>
      <w:pPr>
        <w:spacing w:line="560" w:lineRule="exact"/>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依据《中华人民共和国政府信息公开条例》（以下简称《政府信息公开条例》）第五十条之规定，编制本报告。</w:t>
      </w:r>
    </w:p>
    <w:p>
      <w:pPr>
        <w:spacing w:line="560" w:lineRule="exact"/>
        <w:ind w:firstLine="627" w:firstLineChars="196"/>
        <w:rPr>
          <w:rFonts w:ascii="黑体" w:hAnsi="黑体" w:eastAsia="黑体" w:cs="黑体"/>
          <w:bCs/>
          <w:sz w:val="32"/>
          <w:szCs w:val="32"/>
        </w:rPr>
      </w:pPr>
      <w:r>
        <w:rPr>
          <w:rFonts w:hint="eastAsia" w:ascii="黑体" w:hAnsi="黑体" w:eastAsia="黑体" w:cs="黑体"/>
          <w:bCs/>
          <w:sz w:val="32"/>
          <w:szCs w:val="32"/>
        </w:rPr>
        <w:t>一、总体情况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北京市公安局顺义分局坚持以习近平新时代中国特色社会主义思想为指导，深入贯彻习近平法治思想，全面落实党中央、国务院、市委、市政府和区委、区政府政务公开工作部署，深入贯彻《政府信息公开条例》，不断完善制度规范，加强回应力度，以公开促落实、促规范、促服务，切实增强人民群众满意度、获得感，切实推动顺义分局政府信息公开工作取得新进展。</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（一）主动公开情况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顺义分局坚持以人民需求为导向，进一步加大政府信息主动公开力度，充分发挥合力、广泛利用阵地、积极开展宣传，取得了良好的社会效果。全年在</w:t>
      </w:r>
      <w:r>
        <w:rPr>
          <w:rFonts w:ascii="仿宋_GB2312" w:hAnsi="仿宋_GB2312" w:eastAsia="仿宋_GB2312" w:cs="仿宋_GB2312"/>
          <w:sz w:val="32"/>
          <w:szCs w:val="32"/>
        </w:rPr>
        <w:t>《人民公安报》、《中国日报》、《北京日报》、《北京青年报》、《法治进行时》、顺义电视台等22家市级、区级主流媒体共刊发我局相关报道329篇。双微平台共发布微博1554条、微信844条。</w:t>
      </w:r>
      <w:r>
        <w:rPr>
          <w:rFonts w:hint="eastAsia" w:ascii="仿宋_GB2312" w:hAnsi="仿宋_GB2312" w:eastAsia="仿宋_GB2312" w:cs="仿宋_GB2312"/>
          <w:sz w:val="32"/>
          <w:szCs w:val="32"/>
        </w:rPr>
        <w:t>以上发布内容深受市民欢迎。</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（二）依申请公开情况</w:t>
      </w:r>
    </w:p>
    <w:p>
      <w:pPr>
        <w:spacing w:line="56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2022年，顺义分局接收政府信息公开申请7件，全部办结。其中，“予以公开”3件，占总数的42.8%；“不予公开”1件，占总数的14.4%（属于行政执法案件）；“无法提供”3件，占总数的42.8%（本机关不掌握相关政府信息）。</w:t>
      </w:r>
    </w:p>
    <w:p>
      <w:pPr>
        <w:spacing w:line="560" w:lineRule="exact"/>
        <w:ind w:firstLine="643" w:firstLineChars="200"/>
        <w:rPr>
          <w:rFonts w:ascii="楷体_GB2312" w:hAnsi="楷体_GB2312" w:eastAsia="楷体_GB2312" w:cs="楷体_GB2312"/>
          <w:b/>
          <w:bCs/>
          <w:color w:val="FF0000"/>
          <w:sz w:val="32"/>
          <w:szCs w:val="32"/>
        </w:rPr>
      </w:pPr>
      <w:r>
        <w:rPr>
          <w:rFonts w:hint="eastAsia" w:ascii="楷体_GB2312" w:hAnsi="楷体_GB2312" w:eastAsia="楷体_GB2312" w:cs="楷体_GB2312"/>
          <w:b/>
          <w:bCs/>
          <w:sz w:val="32"/>
          <w:szCs w:val="32"/>
        </w:rPr>
        <w:t>（三）政府信息资源的规范化、标准化管理情况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顺义分局在市局领导下，将对外服务事项进行“全目录、全流程”梳理，建立包括公开事项的名称、内容、公开属性、主体、时限、方式、依据等要素在内的公开标准模板，形成了一套政务公开标准目录并在市政府网站公开。公开内容逐步覆盖了权力运行全流程、政务服务全过程，公开制度体系基本完备，公开实效也进一步提升。</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（四）政府信息公开平台建设情况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顺义分局在强化“两微一端”（微博、微信、今日头条客户端）建设基础上，积极拓宽公开渠道，利用抖音短视频账号，先后</w:t>
      </w:r>
      <w:r>
        <w:rPr>
          <w:rFonts w:ascii="仿宋_GB2312" w:hAnsi="仿宋_GB2312" w:eastAsia="仿宋_GB2312" w:cs="仿宋_GB2312"/>
          <w:sz w:val="32"/>
          <w:szCs w:val="32"/>
        </w:rPr>
        <w:t>牵动相关单位做好涉警舆情990起，启动“7+X”舆情处置机制21次，正式撰写新闻口径及工作报告84次，配合市局做好疫情新闻发布会通稿1次。特别是自6月10日市局启动唐山“6.10”事件重点舆情账单工作以来，主动建立分局重点舆情台账，做到日更新、周报表、月总结形式，积极与舆情管辖单位沟通并争取在市局台账清零。在应对“木北站派出所查获涉嫌妨害进京检查疫情防控行为人员”</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“顺义望泉街道一育婴师虐婴”、“顺义金地未未来小区多只流浪猫被虐杀”、“杨雨被强制猥亵案”、“有人传播14岁以下女孩淫秽照片”</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“北小营鲁藤幼儿园老师打孩子”等敏感舆情时，</w:t>
      </w:r>
      <w:r>
        <w:rPr>
          <w:rFonts w:hint="eastAsia" w:ascii="仿宋_GB2312" w:hAnsi="仿宋_GB2312" w:eastAsia="仿宋_GB2312" w:cs="仿宋_GB2312"/>
          <w:sz w:val="32"/>
          <w:szCs w:val="32"/>
        </w:rPr>
        <w:t>采取</w:t>
      </w:r>
      <w:r>
        <w:rPr>
          <w:rFonts w:ascii="仿宋_GB2312" w:hAnsi="仿宋_GB2312" w:eastAsia="仿宋_GB2312" w:cs="仿宋_GB2312"/>
          <w:sz w:val="32"/>
          <w:szCs w:val="32"/>
        </w:rPr>
        <w:t>第一时间与领导汇报，并根据领导指示迅速启动“7+X”舆情应对机制，动态掌握案件办理进展，及时向市局汇报工作进展，通过与“7+X”成员单位密切配合，迅速反应、准确研判、梯次发布，全面掌控了舆论主动权，实现了舆情整体平稳。</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（五）政府信息公开监督保障及教育培训情况</w:t>
      </w:r>
    </w:p>
    <w:p>
      <w:pPr>
        <w:spacing w:line="56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顺义分局在顺义区顺平西路10号信访接待室设立政府信息公开申请受理点，配备3名兼职人员（民警2人，辅警1人）。教育培训方面，2022年分局共召开政府信息公开工作专题会议共0次，举办培训班2次，培训人员10人次。</w:t>
      </w:r>
    </w:p>
    <w:p>
      <w:pPr>
        <w:spacing w:line="600" w:lineRule="exact"/>
        <w:ind w:firstLine="627" w:firstLineChars="196"/>
        <w:rPr>
          <w:bCs/>
        </w:rPr>
      </w:pPr>
      <w:r>
        <w:rPr>
          <w:rFonts w:hint="eastAsia" w:ascii="黑体" w:hAnsi="黑体" w:eastAsia="黑体"/>
          <w:bCs/>
          <w:sz w:val="32"/>
          <w:szCs w:val="32"/>
        </w:rPr>
        <w:t>二、主动公开政府信息情况</w:t>
      </w:r>
    </w:p>
    <w:tbl>
      <w:tblPr>
        <w:tblStyle w:val="6"/>
        <w:tblW w:w="9740" w:type="dxa"/>
        <w:jc w:val="center"/>
        <w:tblLayout w:type="fixed"/>
        <w:tblCellMar>
          <w:top w:w="0" w:type="dxa"/>
          <w:left w:w="0" w:type="dxa"/>
          <w:bottom w:w="0" w:type="dxa"/>
          <w:right w:w="0" w:type="dxa"/>
        </w:tblCellMar>
      </w:tblPr>
      <w:tblGrid>
        <w:gridCol w:w="2435"/>
        <w:gridCol w:w="2435"/>
        <w:gridCol w:w="2435"/>
        <w:gridCol w:w="2435"/>
      </w:tblGrid>
      <w:tr>
        <w:tblPrEx>
          <w:tblCellMar>
            <w:top w:w="0" w:type="dxa"/>
            <w:left w:w="0" w:type="dxa"/>
            <w:bottom w:w="0" w:type="dxa"/>
            <w:right w:w="0" w:type="dxa"/>
          </w:tblCellMar>
        </w:tblPrEx>
        <w:trPr>
          <w:trHeight w:val="340" w:hRule="atLeast"/>
          <w:jc w:val="center"/>
        </w:trPr>
        <w:tc>
          <w:tcPr>
            <w:tcW w:w="9740" w:type="dxa"/>
            <w:gridSpan w:val="4"/>
            <w:tcBorders>
              <w:top w:val="single" w:color="auto" w:sz="8" w:space="0"/>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第二十条第（一）项</w:t>
            </w:r>
          </w:p>
        </w:tc>
      </w:tr>
      <w:tr>
        <w:tblPrEx>
          <w:tblCellMar>
            <w:top w:w="0" w:type="dxa"/>
            <w:left w:w="0" w:type="dxa"/>
            <w:bottom w:w="0" w:type="dxa"/>
            <w:right w:w="0" w:type="dxa"/>
          </w:tblCellMar>
        </w:tblPrEx>
        <w:trPr>
          <w:trHeight w:val="340" w:hRule="exac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center"/>
            </w:pPr>
            <w:r>
              <w:rPr>
                <w:rFonts w:hint="eastAsia" w:ascii="宋体" w:hAnsi="宋体" w:cs="宋体"/>
                <w:color w:val="000000"/>
                <w:kern w:val="0"/>
                <w:sz w:val="20"/>
                <w:szCs w:val="20"/>
              </w:rPr>
              <w:t>信息内容</w:t>
            </w:r>
          </w:p>
        </w:tc>
        <w:tc>
          <w:tcPr>
            <w:tcW w:w="2435" w:type="dxa"/>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本年制发件数</w:t>
            </w:r>
          </w:p>
        </w:tc>
        <w:tc>
          <w:tcPr>
            <w:tcW w:w="2435" w:type="dxa"/>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本年废止件数</w:t>
            </w:r>
          </w:p>
        </w:tc>
        <w:tc>
          <w:tcPr>
            <w:tcW w:w="2435" w:type="dxa"/>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现行有效件</w:t>
            </w:r>
            <w:r>
              <w:rPr>
                <w:rFonts w:hint="eastAsia" w:ascii="宋体" w:hAnsi="宋体" w:cs="宋体"/>
                <w:kern w:val="0"/>
                <w:sz w:val="20"/>
                <w:szCs w:val="20"/>
              </w:rPr>
              <w:t>数</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规章</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rPr>
              <w:t>0</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行政规范性文件</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ascii="宋体" w:hAnsi="宋体" w:cs="宋体"/>
                <w:color w:val="000000"/>
                <w:kern w:val="0"/>
                <w:sz w:val="20"/>
                <w:szCs w:val="20"/>
              </w:rPr>
              <w:t>0</w:t>
            </w:r>
          </w:p>
        </w:tc>
        <w:tc>
          <w:tcPr>
            <w:tcW w:w="2435" w:type="dxa"/>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cs="Calibri"/>
                <w:kern w:val="0"/>
                <w:szCs w:val="21"/>
              </w:rPr>
              <w:t>0</w:t>
            </w:r>
          </w:p>
        </w:tc>
      </w:tr>
      <w:tr>
        <w:tblPrEx>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pPr>
            <w:r>
              <w:rPr>
                <w:rFonts w:hint="eastAsia" w:ascii="宋体" w:hAnsi="宋体" w:cs="宋体"/>
                <w:color w:val="000000"/>
                <w:kern w:val="0"/>
                <w:sz w:val="20"/>
                <w:szCs w:val="20"/>
              </w:rPr>
              <w:t>第二十条第（五）项</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center"/>
            </w:pPr>
            <w:r>
              <w:rPr>
                <w:rFonts w:hint="eastAsia" w:ascii="宋体" w:hAnsi="宋体" w:cs="宋体"/>
                <w:color w:val="000000"/>
                <w:kern w:val="0"/>
                <w:sz w:val="20"/>
                <w:szCs w:val="20"/>
              </w:rPr>
              <w:t>信息内容</w:t>
            </w:r>
          </w:p>
        </w:tc>
        <w:tc>
          <w:tcPr>
            <w:tcW w:w="7305" w:type="dxa"/>
            <w:gridSpan w:val="3"/>
            <w:tcBorders>
              <w:top w:val="nil"/>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本年处理决定数量</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行政许可</w:t>
            </w:r>
          </w:p>
        </w:tc>
        <w:tc>
          <w:tcPr>
            <w:tcW w:w="7305" w:type="dxa"/>
            <w:gridSpan w:val="3"/>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cs="Calibri"/>
                <w:kern w:val="0"/>
                <w:szCs w:val="21"/>
              </w:rPr>
              <w:t>81233</w:t>
            </w:r>
          </w:p>
        </w:tc>
      </w:tr>
      <w:tr>
        <w:tblPrEx>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pPr>
            <w:r>
              <w:rPr>
                <w:rFonts w:hint="eastAsia" w:ascii="宋体" w:hAnsi="宋体" w:cs="宋体"/>
                <w:color w:val="000000"/>
                <w:kern w:val="0"/>
                <w:sz w:val="20"/>
                <w:szCs w:val="20"/>
              </w:rPr>
              <w:t>第二十条第（六）项</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pPr>
            <w:r>
              <w:rPr>
                <w:rFonts w:hint="eastAsia" w:ascii="宋体" w:hAnsi="宋体" w:cs="宋体"/>
                <w:color w:val="000000"/>
                <w:kern w:val="0"/>
                <w:sz w:val="20"/>
                <w:szCs w:val="20"/>
              </w:rPr>
              <w:t>信息内容</w:t>
            </w:r>
          </w:p>
        </w:tc>
        <w:tc>
          <w:tcPr>
            <w:tcW w:w="7305" w:type="dxa"/>
            <w:gridSpan w:val="3"/>
            <w:tcBorders>
              <w:top w:val="single" w:color="auto" w:sz="8" w:space="0"/>
              <w:left w:val="nil"/>
              <w:bottom w:val="single" w:color="auto" w:sz="8" w:space="0"/>
              <w:right w:val="single" w:color="auto"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本年处理决定数量</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行政处罚</w:t>
            </w:r>
          </w:p>
        </w:tc>
        <w:tc>
          <w:tcPr>
            <w:tcW w:w="7305" w:type="dxa"/>
            <w:gridSpan w:val="3"/>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rPr>
              <w:t>1374829</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行政强制</w:t>
            </w:r>
          </w:p>
        </w:tc>
        <w:tc>
          <w:tcPr>
            <w:tcW w:w="7305" w:type="dxa"/>
            <w:gridSpan w:val="3"/>
            <w:tcBorders>
              <w:top w:val="nil"/>
              <w:left w:val="nil"/>
              <w:bottom w:val="single" w:color="auto" w:sz="8" w:space="0"/>
              <w:right w:val="single" w:color="auto" w:sz="8" w:space="0"/>
            </w:tcBorders>
            <w:tcMar>
              <w:left w:w="57" w:type="dxa"/>
              <w:right w:w="57" w:type="dxa"/>
            </w:tcMar>
            <w:vAlign w:val="center"/>
          </w:tcPr>
          <w:p>
            <w:pPr>
              <w:widowControl/>
              <w:jc w:val="center"/>
            </w:pPr>
            <w:r>
              <w:rPr>
                <w:rFonts w:hint="eastAsia"/>
              </w:rPr>
              <w:t>31556</w:t>
            </w:r>
          </w:p>
        </w:tc>
      </w:tr>
      <w:tr>
        <w:tblPrEx>
          <w:tblCellMar>
            <w:top w:w="0" w:type="dxa"/>
            <w:left w:w="0" w:type="dxa"/>
            <w:bottom w:w="0" w:type="dxa"/>
            <w:right w:w="0" w:type="dxa"/>
          </w:tblCellMar>
        </w:tblPrEx>
        <w:trPr>
          <w:trHeight w:val="340" w:hRule="atLeast"/>
          <w:jc w:val="center"/>
        </w:trPr>
        <w:tc>
          <w:tcPr>
            <w:tcW w:w="9740" w:type="dxa"/>
            <w:gridSpan w:val="4"/>
            <w:tcBorders>
              <w:top w:val="nil"/>
              <w:left w:val="single" w:color="auto" w:sz="8" w:space="0"/>
              <w:bottom w:val="single" w:color="auto" w:sz="8" w:space="0"/>
              <w:right w:val="single" w:color="auto" w:sz="8" w:space="0"/>
            </w:tcBorders>
            <w:shd w:val="clear" w:color="auto" w:fill="9BC2E6"/>
            <w:tcMar>
              <w:left w:w="57" w:type="dxa"/>
              <w:right w:w="57" w:type="dxa"/>
            </w:tcMar>
            <w:vAlign w:val="center"/>
          </w:tcPr>
          <w:p>
            <w:pPr>
              <w:widowControl/>
              <w:jc w:val="center"/>
            </w:pPr>
            <w:r>
              <w:rPr>
                <w:rFonts w:hint="eastAsia" w:ascii="宋体" w:hAnsi="宋体" w:cs="宋体"/>
                <w:color w:val="000000"/>
                <w:kern w:val="0"/>
                <w:sz w:val="20"/>
                <w:szCs w:val="20"/>
              </w:rPr>
              <w:t>第二十条第（八）项</w:t>
            </w:r>
          </w:p>
        </w:tc>
      </w:tr>
      <w:tr>
        <w:tblPrEx>
          <w:tblCellMar>
            <w:top w:w="0" w:type="dxa"/>
            <w:left w:w="0" w:type="dxa"/>
            <w:bottom w:w="0" w:type="dxa"/>
            <w:right w:w="0" w:type="dxa"/>
          </w:tblCellMar>
        </w:tblPrEx>
        <w:trPr>
          <w:trHeight w:val="37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center"/>
            </w:pPr>
            <w:r>
              <w:rPr>
                <w:rFonts w:hint="eastAsia" w:ascii="宋体" w:hAnsi="宋体" w:cs="宋体"/>
                <w:color w:val="000000"/>
                <w:kern w:val="0"/>
                <w:sz w:val="20"/>
                <w:szCs w:val="20"/>
              </w:rPr>
              <w:t>信息内容</w:t>
            </w:r>
          </w:p>
        </w:tc>
        <w:tc>
          <w:tcPr>
            <w:tcW w:w="7305" w:type="dxa"/>
            <w:gridSpan w:val="3"/>
            <w:tcBorders>
              <w:top w:val="nil"/>
              <w:left w:val="nil"/>
              <w:bottom w:val="single" w:color="auto" w:sz="8" w:space="0"/>
              <w:right w:val="single" w:color="000000" w:sz="8" w:space="0"/>
            </w:tcBorders>
            <w:shd w:val="clear" w:color="auto" w:fill="DDEBF7"/>
            <w:tcMar>
              <w:left w:w="57" w:type="dxa"/>
              <w:right w:w="57" w:type="dxa"/>
            </w:tcMar>
            <w:vAlign w:val="center"/>
          </w:tcPr>
          <w:p>
            <w:pPr>
              <w:widowControl/>
              <w:jc w:val="center"/>
            </w:pPr>
            <w:r>
              <w:rPr>
                <w:rFonts w:hint="eastAsia" w:ascii="宋体" w:hAnsi="宋体" w:cs="宋体"/>
                <w:color w:val="000000"/>
                <w:kern w:val="0"/>
                <w:sz w:val="20"/>
                <w:szCs w:val="20"/>
              </w:rPr>
              <w:t>本年收费金额（单位：万元）</w:t>
            </w:r>
          </w:p>
        </w:tc>
      </w:tr>
      <w:tr>
        <w:tblPrEx>
          <w:tblCellMar>
            <w:top w:w="0" w:type="dxa"/>
            <w:left w:w="0" w:type="dxa"/>
            <w:bottom w:w="0" w:type="dxa"/>
            <w:right w:w="0" w:type="dxa"/>
          </w:tblCellMar>
        </w:tblPrEx>
        <w:trPr>
          <w:trHeight w:val="340" w:hRule="atLeast"/>
          <w:jc w:val="center"/>
        </w:trPr>
        <w:tc>
          <w:tcPr>
            <w:tcW w:w="2435" w:type="dxa"/>
            <w:tcBorders>
              <w:top w:val="nil"/>
              <w:left w:val="single" w:color="auto" w:sz="8" w:space="0"/>
              <w:bottom w:val="single" w:color="auto" w:sz="8" w:space="0"/>
              <w:right w:val="single" w:color="auto" w:sz="8" w:space="0"/>
            </w:tcBorders>
            <w:shd w:val="clear" w:color="auto" w:fill="BDD7EE"/>
            <w:tcMar>
              <w:left w:w="57" w:type="dxa"/>
              <w:right w:w="57" w:type="dxa"/>
            </w:tcMar>
            <w:vAlign w:val="center"/>
          </w:tcPr>
          <w:p>
            <w:pPr>
              <w:widowControl/>
              <w:jc w:val="left"/>
            </w:pPr>
            <w:r>
              <w:rPr>
                <w:rFonts w:hint="eastAsia" w:ascii="宋体" w:hAnsi="宋体" w:cs="宋体"/>
                <w:color w:val="000000"/>
                <w:kern w:val="0"/>
                <w:sz w:val="20"/>
                <w:szCs w:val="20"/>
              </w:rPr>
              <w:t>行政事业性收费</w:t>
            </w:r>
          </w:p>
        </w:tc>
        <w:tc>
          <w:tcPr>
            <w:tcW w:w="7305" w:type="dxa"/>
            <w:gridSpan w:val="3"/>
            <w:tcBorders>
              <w:top w:val="nil"/>
              <w:left w:val="nil"/>
              <w:bottom w:val="single" w:color="auto" w:sz="8" w:space="0"/>
              <w:right w:val="single" w:color="000000" w:sz="8" w:space="0"/>
            </w:tcBorders>
            <w:tcMar>
              <w:left w:w="57" w:type="dxa"/>
              <w:right w:w="57" w:type="dxa"/>
            </w:tcMar>
            <w:vAlign w:val="center"/>
          </w:tcPr>
          <w:p>
            <w:pPr>
              <w:jc w:val="center"/>
              <w:rPr>
                <w:rFonts w:ascii="宋体"/>
                <w:sz w:val="24"/>
              </w:rPr>
            </w:pPr>
            <w:r>
              <w:rPr>
                <w:rFonts w:hint="eastAsia" w:cs="Calibri"/>
                <w:szCs w:val="21"/>
              </w:rPr>
              <w:t>203.0335</w:t>
            </w:r>
          </w:p>
        </w:tc>
      </w:tr>
    </w:tbl>
    <w:p>
      <w:pPr>
        <w:spacing w:line="600" w:lineRule="exact"/>
        <w:ind w:firstLine="640" w:firstLineChars="200"/>
        <w:rPr>
          <w:bCs/>
        </w:rPr>
      </w:pPr>
      <w:r>
        <w:rPr>
          <w:rFonts w:hint="eastAsia" w:ascii="黑体" w:hAnsi="黑体" w:eastAsia="黑体"/>
          <w:bCs/>
          <w:sz w:val="32"/>
          <w:szCs w:val="32"/>
        </w:rPr>
        <w:t>三、收到和处理政府信息公开申请情况</w:t>
      </w:r>
    </w:p>
    <w:tbl>
      <w:tblPr>
        <w:tblStyle w:val="6"/>
        <w:tblW w:w="974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768"/>
        <w:gridCol w:w="943"/>
        <w:gridCol w:w="3220"/>
        <w:gridCol w:w="688"/>
        <w:gridCol w:w="688"/>
        <w:gridCol w:w="688"/>
        <w:gridCol w:w="688"/>
        <w:gridCol w:w="688"/>
        <w:gridCol w:w="688"/>
        <w:gridCol w:w="68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vMerge w:val="restart"/>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left"/>
            </w:pPr>
            <w:r>
              <w:rPr>
                <w:rFonts w:ascii="楷体" w:hAnsi="楷体" w:eastAsia="楷体" w:cs="楷体"/>
                <w:kern w:val="0"/>
                <w:sz w:val="20"/>
                <w:szCs w:val="20"/>
              </w:rPr>
              <w:t>（本列数据的勾稽关系为：第一项加第二项之和，等于第三项加第四项之和）</w:t>
            </w:r>
          </w:p>
        </w:tc>
        <w:tc>
          <w:tcPr>
            <w:tcW w:w="4817" w:type="dxa"/>
            <w:gridSpan w:val="7"/>
            <w:tcBorders>
              <w:top w:val="single" w:color="auto" w:sz="4" w:space="0"/>
              <w:left w:val="single" w:color="auto" w:sz="4" w:space="0"/>
              <w:bottom w:val="single" w:color="auto" w:sz="4" w:space="0"/>
              <w:right w:val="single" w:color="auto" w:sz="4" w:space="0"/>
            </w:tcBorders>
            <w:shd w:val="clear" w:color="auto" w:fill="9BC2E6"/>
            <w:tcMar>
              <w:left w:w="57" w:type="dxa"/>
              <w:right w:w="57" w:type="dxa"/>
            </w:tcMar>
            <w:vAlign w:val="center"/>
          </w:tcPr>
          <w:p>
            <w:pPr>
              <w:widowControl/>
              <w:jc w:val="center"/>
            </w:pPr>
            <w:r>
              <w:rPr>
                <w:rFonts w:hint="eastAsia" w:ascii="宋体" w:hAnsi="宋体" w:cs="宋体"/>
                <w:kern w:val="0"/>
                <w:sz w:val="20"/>
                <w:szCs w:val="20"/>
              </w:rPr>
              <w:t>申请人情况</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vMerge w:val="continue"/>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rPr>
                <w:rFonts w:ascii="宋体"/>
                <w:sz w:val="24"/>
              </w:rPr>
            </w:pPr>
          </w:p>
        </w:tc>
        <w:tc>
          <w:tcPr>
            <w:tcW w:w="688" w:type="dxa"/>
            <w:vMerge w:val="restart"/>
            <w:tcBorders>
              <w:top w:val="single" w:color="auto" w:sz="4" w:space="0"/>
              <w:left w:val="single" w:color="auto" w:sz="4" w:space="0"/>
              <w:bottom w:val="single" w:color="auto" w:sz="4" w:space="0"/>
              <w:right w:val="single" w:color="auto" w:sz="4" w:space="0"/>
            </w:tcBorders>
            <w:shd w:val="clear" w:color="auto" w:fill="9BC2E6"/>
            <w:tcMar>
              <w:left w:w="57" w:type="dxa"/>
              <w:right w:w="57" w:type="dxa"/>
            </w:tcMar>
            <w:vAlign w:val="center"/>
          </w:tcPr>
          <w:p>
            <w:pPr>
              <w:widowControl/>
              <w:jc w:val="center"/>
            </w:pPr>
            <w:r>
              <w:rPr>
                <w:rFonts w:hint="eastAsia" w:ascii="宋体" w:hAnsi="宋体" w:cs="宋体"/>
                <w:kern w:val="0"/>
                <w:sz w:val="20"/>
                <w:szCs w:val="20"/>
              </w:rPr>
              <w:t>自然人</w:t>
            </w:r>
          </w:p>
        </w:tc>
        <w:tc>
          <w:tcPr>
            <w:tcW w:w="3440" w:type="dxa"/>
            <w:gridSpan w:val="5"/>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tabs>
                <w:tab w:val="left" w:pos="429"/>
                <w:tab w:val="center" w:pos="1723"/>
              </w:tabs>
              <w:jc w:val="center"/>
            </w:pPr>
            <w:r>
              <w:rPr>
                <w:rFonts w:hint="eastAsia" w:ascii="宋体" w:hAnsi="宋体" w:cs="宋体"/>
                <w:kern w:val="0"/>
                <w:sz w:val="20"/>
                <w:szCs w:val="20"/>
              </w:rPr>
              <w:t>法人或其他组织</w:t>
            </w:r>
          </w:p>
        </w:tc>
        <w:tc>
          <w:tcPr>
            <w:tcW w:w="689" w:type="dxa"/>
            <w:vMerge w:val="restart"/>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vMerge w:val="continue"/>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rPr>
                <w:rFonts w:ascii="宋体"/>
                <w:sz w:val="24"/>
              </w:rPr>
            </w:pPr>
          </w:p>
        </w:tc>
        <w:tc>
          <w:tcPr>
            <w:tcW w:w="688" w:type="dxa"/>
            <w:vMerge w:val="continue"/>
            <w:tcBorders>
              <w:top w:val="single" w:color="auto" w:sz="4" w:space="0"/>
              <w:left w:val="single" w:color="auto" w:sz="4" w:space="0"/>
              <w:bottom w:val="single" w:color="auto" w:sz="4" w:space="0"/>
              <w:right w:val="single" w:color="auto" w:sz="4" w:space="0"/>
            </w:tcBorders>
            <w:shd w:val="clear" w:color="auto" w:fill="9BC2E6"/>
            <w:tcMar>
              <w:left w:w="57" w:type="dxa"/>
              <w:right w:w="57" w:type="dxa"/>
            </w:tcMar>
            <w:vAlign w:val="center"/>
          </w:tcPr>
          <w:p>
            <w:pPr>
              <w:rPr>
                <w:rFonts w:ascii="宋体"/>
                <w:sz w:val="24"/>
              </w:rPr>
            </w:pP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商业</w:t>
            </w:r>
          </w:p>
          <w:p>
            <w:pPr>
              <w:widowControl/>
              <w:jc w:val="center"/>
            </w:pPr>
            <w:r>
              <w:rPr>
                <w:rFonts w:hint="eastAsia" w:ascii="宋体" w:hAnsi="宋体" w:cs="宋体"/>
                <w:kern w:val="0"/>
                <w:sz w:val="20"/>
                <w:szCs w:val="20"/>
              </w:rPr>
              <w:t>企业</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科研</w:t>
            </w:r>
          </w:p>
          <w:p>
            <w:pPr>
              <w:widowControl/>
              <w:jc w:val="center"/>
            </w:pPr>
            <w:r>
              <w:rPr>
                <w:rFonts w:hint="eastAsia" w:ascii="宋体" w:hAnsi="宋体" w:cs="宋体"/>
                <w:kern w:val="0"/>
                <w:sz w:val="20"/>
                <w:szCs w:val="20"/>
              </w:rPr>
              <w:t>机构</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社会公益组织</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法律服务机构</w:t>
            </w:r>
          </w:p>
        </w:tc>
        <w:tc>
          <w:tcPr>
            <w:tcW w:w="688" w:type="dxa"/>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widowControl/>
              <w:jc w:val="center"/>
            </w:pPr>
            <w:r>
              <w:rPr>
                <w:rFonts w:hint="eastAsia" w:ascii="宋体" w:hAnsi="宋体" w:cs="宋体"/>
                <w:kern w:val="0"/>
                <w:sz w:val="20"/>
                <w:szCs w:val="20"/>
              </w:rPr>
              <w:t>其他</w:t>
            </w:r>
          </w:p>
        </w:tc>
        <w:tc>
          <w:tcPr>
            <w:tcW w:w="689" w:type="dxa"/>
            <w:vMerge w:val="continue"/>
            <w:tcBorders>
              <w:top w:val="single" w:color="auto" w:sz="4" w:space="0"/>
              <w:left w:val="single" w:color="auto" w:sz="4" w:space="0"/>
              <w:bottom w:val="single" w:color="auto" w:sz="4" w:space="0"/>
              <w:right w:val="single" w:color="auto" w:sz="4" w:space="0"/>
            </w:tcBorders>
            <w:shd w:val="clear" w:color="auto" w:fill="9BC2E6"/>
            <w:tcMar>
              <w:left w:w="108" w:type="dxa"/>
              <w:right w:w="108" w:type="dxa"/>
            </w:tcMar>
            <w:vAlign w:val="center"/>
          </w:tcPr>
          <w:p>
            <w:pPr>
              <w:rPr>
                <w:rFonts w:ascii="宋体"/>
                <w:sz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left"/>
            </w:pPr>
            <w:r>
              <w:rPr>
                <w:rFonts w:hint="eastAsia" w:ascii="宋体" w:hAnsi="宋体" w:cs="宋体"/>
                <w:kern w:val="0"/>
                <w:sz w:val="20"/>
                <w:szCs w:val="20"/>
              </w:rPr>
              <w:t>一、本年新收政府信息公开申请数量</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7</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7</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left"/>
            </w:pPr>
            <w:r>
              <w:rPr>
                <w:rFonts w:hint="eastAsia" w:ascii="宋体" w:hAnsi="宋体" w:cs="宋体"/>
                <w:kern w:val="0"/>
                <w:sz w:val="20"/>
                <w:szCs w:val="20"/>
              </w:rPr>
              <w:t>二、上年结转政府信息公开申请数量</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restart"/>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left"/>
            </w:pPr>
            <w:r>
              <w:rPr>
                <w:rFonts w:hint="eastAsia" w:ascii="宋体" w:hAnsi="宋体" w:cs="宋体"/>
                <w:kern w:val="0"/>
                <w:sz w:val="20"/>
                <w:szCs w:val="20"/>
              </w:rPr>
              <w:t>三、本年度办理结果</w:t>
            </w:r>
          </w:p>
        </w:tc>
        <w:tc>
          <w:tcPr>
            <w:tcW w:w="4163" w:type="dxa"/>
            <w:gridSpan w:val="2"/>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（一）予以公开</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rPr>
              <w:t>3</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3</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4163" w:type="dxa"/>
            <w:gridSpan w:val="2"/>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（二）部分公开</w:t>
            </w:r>
            <w:r>
              <w:rPr>
                <w:rFonts w:ascii="楷体" w:hAnsi="楷体" w:eastAsia="楷体" w:cs="楷体"/>
                <w:kern w:val="0"/>
                <w:sz w:val="20"/>
                <w:szCs w:val="20"/>
              </w:rPr>
              <w:t>（区分处理的，只计这一情形，不计其他情形）</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（三）不予公开</w:t>
            </w: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1.属于国家秘密</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2.其他法律行政法规禁止公开</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3.危及“三安全一稳定”</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4.保护第三方合法权益</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5.属于三类内部事务信息</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6.属于四类过程性信息</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7.属于行政执法案卷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1</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8.属于行政查询事项</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（四）无法提供</w:t>
            </w: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1.本机关不掌握相关政府信息</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3</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3</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2.没有现成信息需要另行制作</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3.补正后申请内容仍不明确</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（五）不予处理</w:t>
            </w: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1.信访举报投诉类申请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2.重复申请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3.要求提供公开出版物</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tcPr>
          <w:p>
            <w:pPr>
              <w:widowControl/>
              <w:jc w:val="left"/>
            </w:pPr>
            <w:r>
              <w:rPr>
                <w:rFonts w:hint="eastAsia" w:ascii="宋体" w:hAnsi="宋体" w:cs="宋体"/>
                <w:kern w:val="0"/>
                <w:sz w:val="20"/>
                <w:szCs w:val="20"/>
              </w:rPr>
              <w:t>4.无正当理由大量反复申请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79" w:hRule="atLeast"/>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pPr>
            <w:r>
              <w:rPr>
                <w:rFonts w:hint="eastAsia" w:ascii="宋体" w:hAnsi="宋体" w:cs="宋体"/>
                <w:kern w:val="0"/>
                <w:sz w:val="20"/>
                <w:szCs w:val="20"/>
              </w:rPr>
              <w:t>5.要求行政机关确认或重新出具已获取信息</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ind w:firstLine="200" w:firstLineChars="100"/>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restart"/>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（六）其他处理</w:t>
            </w: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pPr>
            <w:r>
              <w:rPr>
                <w:rFonts w:hint="eastAsia" w:ascii="宋体" w:hAnsi="宋体" w:cs="宋体"/>
                <w:kern w:val="0"/>
                <w:sz w:val="20"/>
                <w:szCs w:val="20"/>
              </w:rPr>
              <w:t>1.申请人无正当理由逾期不补正、行政机关不再处理其政府信息公开申请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pPr>
            <w:r>
              <w:rPr>
                <w:rFonts w:hint="eastAsia" w:ascii="宋体" w:hAnsi="宋体" w:cs="宋体"/>
                <w:kern w:val="0"/>
                <w:sz w:val="20"/>
                <w:szCs w:val="20"/>
              </w:rPr>
              <w:t>2.申请人逾期未按收费通知要求缴纳费用、行政机关不再处理其政府信息公开申请</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943" w:type="dxa"/>
            <w:vMerge w:val="continue"/>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rPr>
                <w:rFonts w:ascii="宋体"/>
                <w:sz w:val="24"/>
              </w:rPr>
            </w:pPr>
          </w:p>
        </w:tc>
        <w:tc>
          <w:tcPr>
            <w:tcW w:w="3220" w:type="dxa"/>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3.其他</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768" w:type="dxa"/>
            <w:vMerge w:val="continue"/>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rPr>
                <w:rFonts w:ascii="宋体"/>
                <w:sz w:val="24"/>
              </w:rPr>
            </w:pPr>
          </w:p>
        </w:tc>
        <w:tc>
          <w:tcPr>
            <w:tcW w:w="4163" w:type="dxa"/>
            <w:gridSpan w:val="2"/>
            <w:tcBorders>
              <w:top w:val="single" w:color="auto" w:sz="4" w:space="0"/>
              <w:left w:val="single" w:color="auto" w:sz="4" w:space="0"/>
              <w:bottom w:val="single" w:color="auto" w:sz="4" w:space="0"/>
              <w:right w:val="single" w:color="auto" w:sz="4" w:space="0"/>
            </w:tcBorders>
            <w:shd w:val="clear" w:color="auto" w:fill="DDEBF7"/>
            <w:tcMar>
              <w:left w:w="57" w:type="dxa"/>
              <w:right w:w="57" w:type="dxa"/>
            </w:tcMar>
            <w:vAlign w:val="center"/>
          </w:tcPr>
          <w:p>
            <w:pPr>
              <w:widowControl/>
              <w:jc w:val="left"/>
            </w:pPr>
            <w:r>
              <w:rPr>
                <w:rFonts w:hint="eastAsia" w:ascii="宋体" w:hAnsi="宋体" w:cs="宋体"/>
                <w:kern w:val="0"/>
                <w:sz w:val="20"/>
                <w:szCs w:val="20"/>
              </w:rPr>
              <w:t>（七）总计</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7</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widowControl/>
              <w:jc w:val="center"/>
            </w:pPr>
            <w:r>
              <w:rPr>
                <w:rFonts w:hint="eastAsia" w:cs="Calibri"/>
                <w:kern w:val="0"/>
                <w:sz w:val="20"/>
                <w:szCs w:val="20"/>
              </w:rPr>
              <w:t>7</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4931" w:type="dxa"/>
            <w:gridSpan w:val="3"/>
            <w:tcBorders>
              <w:top w:val="single" w:color="auto" w:sz="4" w:space="0"/>
              <w:left w:val="single" w:color="auto" w:sz="4" w:space="0"/>
              <w:bottom w:val="single" w:color="auto" w:sz="4" w:space="0"/>
              <w:right w:val="single" w:color="auto" w:sz="4" w:space="0"/>
            </w:tcBorders>
            <w:shd w:val="clear" w:color="auto" w:fill="BDD7EE"/>
            <w:tcMar>
              <w:left w:w="57" w:type="dxa"/>
              <w:right w:w="57" w:type="dxa"/>
            </w:tcMar>
            <w:vAlign w:val="center"/>
          </w:tcPr>
          <w:p>
            <w:pPr>
              <w:widowControl/>
              <w:jc w:val="left"/>
              <w:rPr>
                <w:rFonts w:cs="Calibri"/>
                <w:kern w:val="0"/>
                <w:sz w:val="20"/>
                <w:szCs w:val="20"/>
              </w:rPr>
            </w:pPr>
            <w:r>
              <w:rPr>
                <w:rFonts w:hint="eastAsia" w:cs="Calibri"/>
                <w:kern w:val="0"/>
                <w:sz w:val="20"/>
                <w:szCs w:val="20"/>
              </w:rPr>
              <w:t>四、结转下年度继续办理</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cs="Calibri"/>
                <w:kern w:val="0"/>
                <w:sz w:val="20"/>
                <w:szCs w:val="20"/>
              </w:rP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cs="Calibri"/>
                <w:kern w:val="0"/>
                <w:sz w:val="20"/>
                <w:szCs w:val="20"/>
              </w:rPr>
              <w:t>0</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cs="Calibri"/>
                <w:kern w:val="0"/>
                <w:sz w:val="20"/>
                <w:szCs w:val="20"/>
              </w:rPr>
            </w:pPr>
            <w:r>
              <w:rPr>
                <w:rFonts w:hint="eastAsia" w:cs="Calibri"/>
                <w:kern w:val="0"/>
                <w:sz w:val="20"/>
                <w:szCs w:val="20"/>
              </w:rPr>
              <w:t>0</w:t>
            </w:r>
          </w:p>
        </w:tc>
        <w:tc>
          <w:tcPr>
            <w:tcW w:w="689" w:type="dxa"/>
            <w:tcBorders>
              <w:top w:val="single" w:color="auto" w:sz="4" w:space="0"/>
              <w:left w:val="single" w:color="auto" w:sz="4" w:space="0"/>
              <w:bottom w:val="single" w:color="auto" w:sz="4" w:space="0"/>
              <w:right w:val="single" w:color="auto" w:sz="4" w:space="0"/>
            </w:tcBorders>
            <w:vAlign w:val="center"/>
          </w:tcPr>
          <w:p>
            <w:pPr>
              <w:widowControl/>
              <w:jc w:val="center"/>
              <w:rPr>
                <w:rFonts w:cs="Calibri"/>
                <w:kern w:val="0"/>
                <w:sz w:val="20"/>
                <w:szCs w:val="20"/>
              </w:rPr>
            </w:pPr>
            <w:r>
              <w:rPr>
                <w:rFonts w:hint="eastAsia" w:cs="Calibri"/>
                <w:kern w:val="0"/>
                <w:sz w:val="20"/>
                <w:szCs w:val="20"/>
              </w:rPr>
              <w:t>0</w:t>
            </w:r>
          </w:p>
        </w:tc>
      </w:tr>
    </w:tbl>
    <w:p>
      <w:pPr>
        <w:spacing w:line="600" w:lineRule="exact"/>
        <w:ind w:firstLine="640" w:firstLineChars="200"/>
        <w:rPr>
          <w:bCs/>
        </w:rPr>
      </w:pPr>
      <w:r>
        <w:rPr>
          <w:rFonts w:hint="eastAsia" w:ascii="黑体" w:hAnsi="黑体" w:eastAsia="黑体"/>
          <w:bCs/>
          <w:sz w:val="32"/>
          <w:szCs w:val="32"/>
        </w:rPr>
        <w:t>四、政府信息公开行政复议、行政诉讼情况</w:t>
      </w:r>
    </w:p>
    <w:tbl>
      <w:tblPr>
        <w:tblStyle w:val="6"/>
        <w:tblW w:w="974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649"/>
        <w:gridCol w:w="649"/>
        <w:gridCol w:w="649"/>
        <w:gridCol w:w="649"/>
        <w:gridCol w:w="649"/>
        <w:gridCol w:w="649"/>
        <w:gridCol w:w="649"/>
        <w:gridCol w:w="650"/>
        <w:gridCol w:w="650"/>
        <w:gridCol w:w="650"/>
        <w:gridCol w:w="651"/>
        <w:gridCol w:w="651"/>
        <w:gridCol w:w="651"/>
        <w:gridCol w:w="651"/>
        <w:gridCol w:w="65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47" w:hRule="atLeast"/>
          <w:jc w:val="center"/>
        </w:trPr>
        <w:tc>
          <w:tcPr>
            <w:tcW w:w="3245" w:type="dxa"/>
            <w:gridSpan w:val="5"/>
            <w:tcBorders>
              <w:top w:val="single" w:color="auto" w:sz="8" w:space="0"/>
              <w:left w:val="single" w:color="auto" w:sz="8" w:space="0"/>
              <w:bottom w:val="single" w:color="auto" w:sz="8" w:space="0"/>
              <w:right w:val="single" w:color="auto" w:sz="8" w:space="0"/>
            </w:tcBorders>
            <w:shd w:val="clear" w:color="auto" w:fill="BDD7EE"/>
            <w:tcMar>
              <w:left w:w="108" w:type="dxa"/>
              <w:right w:w="108" w:type="dxa"/>
            </w:tcMar>
            <w:vAlign w:val="center"/>
          </w:tcPr>
          <w:p>
            <w:pPr>
              <w:widowControl/>
              <w:jc w:val="center"/>
            </w:pPr>
            <w:r>
              <w:rPr>
                <w:rFonts w:hint="eastAsia" w:ascii="宋体" w:hAnsi="宋体" w:cs="宋体"/>
                <w:kern w:val="0"/>
                <w:sz w:val="20"/>
                <w:szCs w:val="20"/>
              </w:rPr>
              <w:t>行政复议</w:t>
            </w:r>
          </w:p>
        </w:tc>
        <w:tc>
          <w:tcPr>
            <w:tcW w:w="6503" w:type="dxa"/>
            <w:gridSpan w:val="10"/>
            <w:tcBorders>
              <w:top w:val="single" w:color="auto" w:sz="8" w:space="0"/>
              <w:left w:val="single" w:color="auto" w:sz="8" w:space="0"/>
              <w:bottom w:val="single" w:color="auto" w:sz="8" w:space="0"/>
              <w:right w:val="single" w:color="auto" w:sz="8" w:space="0"/>
            </w:tcBorders>
            <w:shd w:val="clear" w:color="auto" w:fill="BDD7EE"/>
            <w:tcMar>
              <w:left w:w="108" w:type="dxa"/>
              <w:right w:w="108" w:type="dxa"/>
            </w:tcMar>
            <w:vAlign w:val="center"/>
          </w:tcPr>
          <w:p>
            <w:pPr>
              <w:widowControl/>
              <w:jc w:val="center"/>
            </w:pPr>
            <w:r>
              <w:rPr>
                <w:rFonts w:hint="eastAsia" w:ascii="宋体" w:hAnsi="宋体" w:cs="宋体"/>
                <w:kern w:val="0"/>
                <w:sz w:val="20"/>
                <w:szCs w:val="20"/>
              </w:rPr>
              <w:t>行政诉讼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649"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结果维持</w:t>
            </w:r>
          </w:p>
        </w:tc>
        <w:tc>
          <w:tcPr>
            <w:tcW w:w="649"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纠正</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其他</w:t>
            </w:r>
            <w:r>
              <w:rPr>
                <w:rFonts w:hint="eastAsia" w:ascii="宋体" w:hAnsi="宋体" w:cs="宋体"/>
                <w:kern w:val="0"/>
                <w:sz w:val="20"/>
                <w:szCs w:val="20"/>
              </w:rPr>
              <w:br w:type="textWrapping"/>
            </w:r>
            <w:r>
              <w:rPr>
                <w:rFonts w:hint="eastAsia" w:ascii="宋体" w:hAnsi="宋体" w:cs="宋体"/>
                <w:kern w:val="0"/>
                <w:sz w:val="20"/>
                <w:szCs w:val="20"/>
              </w:rPr>
              <w:t>结果</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尚未</w:t>
            </w:r>
            <w:r>
              <w:rPr>
                <w:rFonts w:hint="eastAsia" w:ascii="宋体" w:hAnsi="宋体" w:cs="宋体"/>
                <w:kern w:val="0"/>
                <w:sz w:val="20"/>
                <w:szCs w:val="20"/>
              </w:rPr>
              <w:br w:type="textWrapping"/>
            </w:r>
            <w:r>
              <w:rPr>
                <w:rFonts w:hint="eastAsia" w:ascii="宋体" w:hAnsi="宋体" w:cs="宋体"/>
                <w:kern w:val="0"/>
                <w:sz w:val="20"/>
                <w:szCs w:val="20"/>
              </w:rPr>
              <w:t>审结</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widowControl/>
              <w:jc w:val="center"/>
            </w:pPr>
            <w:r>
              <w:rPr>
                <w:rFonts w:hint="eastAsia" w:ascii="宋体" w:hAnsi="宋体" w:cs="宋体"/>
                <w:kern w:val="0"/>
                <w:sz w:val="20"/>
                <w:szCs w:val="20"/>
              </w:rPr>
              <w:t>总计</w:t>
            </w:r>
          </w:p>
        </w:tc>
        <w:tc>
          <w:tcPr>
            <w:tcW w:w="3248" w:type="dxa"/>
            <w:gridSpan w:val="5"/>
            <w:tcBorders>
              <w:top w:val="single" w:color="auto" w:sz="8" w:space="0"/>
              <w:left w:val="single" w:color="auto" w:sz="8" w:space="0"/>
              <w:bottom w:val="single" w:color="auto" w:sz="8" w:space="0"/>
              <w:right w:val="single" w:color="auto" w:sz="8" w:space="0"/>
            </w:tcBorders>
            <w:shd w:val="clear" w:color="auto" w:fill="DDEBF7"/>
            <w:tcMar>
              <w:left w:w="108" w:type="dxa"/>
              <w:right w:w="108" w:type="dxa"/>
            </w:tcMar>
            <w:vAlign w:val="center"/>
          </w:tcPr>
          <w:p>
            <w:pPr>
              <w:widowControl/>
              <w:jc w:val="center"/>
            </w:pPr>
            <w:r>
              <w:rPr>
                <w:rFonts w:hint="eastAsia" w:ascii="宋体" w:hAnsi="宋体" w:cs="宋体"/>
                <w:kern w:val="0"/>
                <w:sz w:val="20"/>
                <w:szCs w:val="20"/>
              </w:rPr>
              <w:t>未经复议直接起诉</w:t>
            </w:r>
          </w:p>
        </w:tc>
        <w:tc>
          <w:tcPr>
            <w:tcW w:w="3255" w:type="dxa"/>
            <w:gridSpan w:val="5"/>
            <w:tcBorders>
              <w:top w:val="single" w:color="auto" w:sz="8" w:space="0"/>
              <w:left w:val="single" w:color="auto" w:sz="8" w:space="0"/>
              <w:bottom w:val="single" w:color="auto" w:sz="8" w:space="0"/>
              <w:right w:val="single" w:color="auto" w:sz="8" w:space="0"/>
            </w:tcBorders>
            <w:shd w:val="clear" w:color="auto" w:fill="DDEBF7"/>
            <w:tcMar>
              <w:left w:w="108" w:type="dxa"/>
              <w:right w:w="108" w:type="dxa"/>
            </w:tcMar>
            <w:vAlign w:val="center"/>
          </w:tcPr>
          <w:p>
            <w:pPr>
              <w:widowControl/>
              <w:jc w:val="center"/>
            </w:pPr>
            <w:r>
              <w:rPr>
                <w:rFonts w:hint="eastAsia" w:ascii="宋体" w:hAnsi="宋体" w:cs="宋体"/>
                <w:kern w:val="0"/>
                <w:sz w:val="20"/>
                <w:szCs w:val="20"/>
              </w:rPr>
              <w:t>复议后起诉</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14" w:hRule="atLeast"/>
          <w:jc w:val="center"/>
        </w:trPr>
        <w:tc>
          <w:tcPr>
            <w:tcW w:w="649" w:type="dxa"/>
            <w:vMerge w:val="continue"/>
            <w:tcBorders>
              <w:top w:val="nil"/>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nil"/>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vMerge w:val="continue"/>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rPr>
                <w:rFonts w:ascii="宋体"/>
                <w:sz w:val="24"/>
              </w:rPr>
            </w:pP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维持</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纠正</w:t>
            </w:r>
          </w:p>
        </w:tc>
        <w:tc>
          <w:tcPr>
            <w:tcW w:w="6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其他</w:t>
            </w:r>
            <w:r>
              <w:rPr>
                <w:rFonts w:hint="eastAsia" w:ascii="宋体" w:hAnsi="宋体" w:cs="宋体"/>
                <w:kern w:val="0"/>
                <w:sz w:val="20"/>
                <w:szCs w:val="20"/>
              </w:rPr>
              <w:br w:type="textWrapping"/>
            </w:r>
            <w:r>
              <w:rPr>
                <w:rFonts w:hint="eastAsia" w:ascii="宋体" w:hAnsi="宋体" w:cs="宋体"/>
                <w:kern w:val="0"/>
                <w:sz w:val="20"/>
                <w:szCs w:val="20"/>
              </w:rPr>
              <w:t>结果</w:t>
            </w:r>
          </w:p>
        </w:tc>
        <w:tc>
          <w:tcPr>
            <w:tcW w:w="6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尚未</w:t>
            </w:r>
            <w:r>
              <w:rPr>
                <w:rFonts w:hint="eastAsia" w:ascii="宋体" w:hAnsi="宋体" w:cs="宋体"/>
                <w:kern w:val="0"/>
                <w:sz w:val="20"/>
                <w:szCs w:val="20"/>
              </w:rPr>
              <w:br w:type="textWrapping"/>
            </w:r>
            <w:r>
              <w:rPr>
                <w:rFonts w:hint="eastAsia" w:ascii="宋体" w:hAnsi="宋体" w:cs="宋体"/>
                <w:kern w:val="0"/>
                <w:sz w:val="20"/>
                <w:szCs w:val="20"/>
              </w:rPr>
              <w:t>审结</w:t>
            </w:r>
          </w:p>
        </w:tc>
        <w:tc>
          <w:tcPr>
            <w:tcW w:w="6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color w:val="000000"/>
                <w:kern w:val="0"/>
                <w:sz w:val="20"/>
                <w:szCs w:val="20"/>
              </w:rPr>
              <w:t>总计</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维持</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结果</w:t>
            </w:r>
            <w:r>
              <w:rPr>
                <w:rFonts w:hint="eastAsia" w:ascii="宋体" w:hAnsi="宋体" w:cs="宋体"/>
                <w:kern w:val="0"/>
                <w:sz w:val="20"/>
                <w:szCs w:val="20"/>
              </w:rPr>
              <w:br w:type="textWrapping"/>
            </w:r>
            <w:r>
              <w:rPr>
                <w:rFonts w:hint="eastAsia" w:ascii="宋体" w:hAnsi="宋体" w:cs="宋体"/>
                <w:kern w:val="0"/>
                <w:sz w:val="20"/>
                <w:szCs w:val="20"/>
              </w:rPr>
              <w:t>纠正</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color w:val="000000"/>
                <w:kern w:val="0"/>
                <w:sz w:val="20"/>
                <w:szCs w:val="20"/>
              </w:rPr>
              <w:t>其他</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结果</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kern w:val="0"/>
                <w:sz w:val="20"/>
                <w:szCs w:val="20"/>
              </w:rPr>
              <w:t>尚未</w:t>
            </w:r>
            <w:r>
              <w:rPr>
                <w:rFonts w:hint="eastAsia" w:ascii="宋体" w:hAnsi="宋体" w:cs="宋体"/>
                <w:kern w:val="0"/>
                <w:sz w:val="20"/>
                <w:szCs w:val="20"/>
              </w:rPr>
              <w:br w:type="textWrapping"/>
            </w:r>
            <w:r>
              <w:rPr>
                <w:rFonts w:hint="eastAsia" w:ascii="宋体" w:hAnsi="宋体" w:cs="宋体"/>
                <w:kern w:val="0"/>
                <w:sz w:val="20"/>
                <w:szCs w:val="20"/>
              </w:rPr>
              <w:t>审结</w:t>
            </w:r>
          </w:p>
        </w:tc>
        <w:tc>
          <w:tcPr>
            <w:tcW w:w="6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宋体" w:hAnsi="宋体" w:cs="宋体"/>
                <w:color w:val="000000"/>
                <w:kern w:val="0"/>
                <w:sz w:val="20"/>
                <w:szCs w:val="20"/>
              </w:rPr>
              <w:t>总计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72" w:hRule="atLeast"/>
          <w:jc w:val="center"/>
        </w:trPr>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eastAsia="黑体"/>
              </w:rPr>
            </w:pPr>
            <w:r>
              <w:rPr>
                <w:rFonts w:hint="eastAsia" w:ascii="黑体" w:hAnsi="宋体" w:eastAsia="黑体" w:cs="黑体"/>
                <w:kern w:val="0"/>
                <w:sz w:val="20"/>
                <w:szCs w:val="20"/>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0</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rPr>
              <w:t>3</w:t>
            </w:r>
          </w:p>
        </w:tc>
        <w:tc>
          <w:tcPr>
            <w:tcW w:w="649"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rPr>
              <w:t>0</w:t>
            </w:r>
          </w:p>
        </w:tc>
        <w:tc>
          <w:tcPr>
            <w:tcW w:w="650"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ascii="黑体" w:hAnsi="宋体" w:eastAsia="黑体" w:cs="黑体"/>
                <w:kern w:val="0"/>
                <w:sz w:val="20"/>
                <w:szCs w:val="20"/>
              </w:rPr>
              <w:t>0</w:t>
            </w:r>
          </w:p>
        </w:tc>
        <w:tc>
          <w:tcPr>
            <w:tcW w:w="650"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rPr>
              <w:t>0</w:t>
            </w:r>
          </w:p>
        </w:tc>
        <w:tc>
          <w:tcPr>
            <w:tcW w:w="650"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rPr>
                <w:rFonts w:hint="eastAsia" w:eastAsia="宋体"/>
                <w:lang w:eastAsia="zh-CN"/>
              </w:rPr>
            </w:pPr>
            <w:r>
              <w:rPr>
                <w:rFonts w:hint="eastAsia" w:ascii="黑体" w:hAnsi="宋体" w:eastAsia="黑体" w:cs="黑体"/>
                <w:kern w:val="0"/>
                <w:sz w:val="20"/>
                <w:szCs w:val="20"/>
                <w:lang w:val="en-US" w:eastAsia="zh-CN"/>
              </w:rPr>
              <w:t>3</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pPr>
            <w:r>
              <w:rPr>
                <w:rFonts w:hint="eastAsia"/>
              </w:rPr>
              <w:t xml:space="preserve"> 1</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rPr>
              <w:t>0</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rPr>
              <w:t>0</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widowControl/>
              <w:jc w:val="center"/>
            </w:pPr>
            <w:r>
              <w:rPr>
                <w:rFonts w:hint="eastAsia"/>
              </w:rPr>
              <w:t>0</w:t>
            </w:r>
          </w:p>
        </w:tc>
        <w:tc>
          <w:tcPr>
            <w:tcW w:w="651" w:type="dxa"/>
            <w:tcBorders>
              <w:top w:val="nil"/>
              <w:left w:val="single" w:color="auto" w:sz="8" w:space="0"/>
              <w:bottom w:val="single" w:color="auto" w:sz="8" w:space="0"/>
              <w:right w:val="single" w:color="auto" w:sz="8" w:space="0"/>
            </w:tcBorders>
            <w:tcMar>
              <w:left w:w="108" w:type="dxa"/>
              <w:right w:w="108" w:type="dxa"/>
            </w:tcMar>
            <w:vAlign w:val="center"/>
          </w:tcPr>
          <w:p>
            <w:pPr>
              <w:jc w:val="center"/>
              <w:rPr>
                <w:rFonts w:hint="eastAsia" w:ascii="宋体" w:eastAsia="宋体"/>
                <w:sz w:val="24"/>
                <w:lang w:eastAsia="zh-CN"/>
              </w:rPr>
            </w:pPr>
            <w:r>
              <w:rPr>
                <w:rFonts w:hint="eastAsia"/>
                <w:lang w:val="en-US" w:eastAsia="zh-CN"/>
              </w:rPr>
              <w:t>1</w:t>
            </w:r>
          </w:p>
        </w:tc>
      </w:tr>
    </w:tbl>
    <w:p>
      <w:pPr>
        <w:spacing w:line="600" w:lineRule="exact"/>
        <w:ind w:firstLine="640" w:firstLineChars="200"/>
        <w:rPr>
          <w:bCs/>
        </w:rPr>
      </w:pPr>
      <w:r>
        <w:rPr>
          <w:rFonts w:hint="eastAsia" w:ascii="黑体" w:hAnsi="黑体" w:eastAsia="黑体"/>
          <w:bCs/>
          <w:sz w:val="32"/>
          <w:szCs w:val="32"/>
        </w:rPr>
        <w:t>五、政府信息公开工作存在的主要问题和改进情况</w:t>
      </w:r>
    </w:p>
    <w:p>
      <w:pPr>
        <w:spacing w:line="60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color w:val="333333"/>
          <w:kern w:val="0"/>
          <w:sz w:val="32"/>
          <w:szCs w:val="32"/>
        </w:rPr>
        <w:t>2022年，我局进一步推进平台规范化，保障公众的知情权、参与权、表达权、监督权方面取得了明显成效，但仍存在工作衔接环节薄弱、政策解读不够深入、主动公开力度有待增强等问题。下一步，我局将在现有工作的基础上，有针对性地采取改进措施，全力推进政府信息公开工作。</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一是完善制度，压实责任。进一步完善政务公开工作制度与责任制，压实各警种、各部门在政务公开工作中的职责，加强工作环节衔接，确保高质量完成好各项工作任务。</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加强指导，助力升级。继续加强对基层政务公开标准化规范化工作指导力度，推动基层公安机关建成一套公开事项科学全面、工作流程规范高效、平台渠道丰富多元的基层政务公开统一标准规范，助力政务公开工作提档升级。</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是积极公开，增强力度。按照“应公开尽公开”的原则，加大主动公开力度，紧紧围绕公安工作与人民群众最关切的问题，利用新媒体等权威渠道和平台及时高效公开，使群众及时了解相关情况，获取有效信息，并接受群众监督。</w:t>
      </w:r>
    </w:p>
    <w:p>
      <w:pPr>
        <w:spacing w:line="600" w:lineRule="exact"/>
        <w:ind w:firstLine="627" w:firstLineChars="196"/>
        <w:rPr>
          <w:rFonts w:ascii="黑体" w:hAnsi="黑体" w:eastAsia="黑体" w:cs="黑体"/>
          <w:bCs/>
          <w:sz w:val="32"/>
          <w:szCs w:val="32"/>
        </w:rPr>
      </w:pPr>
      <w:r>
        <w:rPr>
          <w:rFonts w:hint="eastAsia" w:ascii="黑体" w:hAnsi="黑体" w:eastAsia="黑体" w:cs="黑体"/>
          <w:bCs/>
          <w:sz w:val="32"/>
          <w:szCs w:val="32"/>
        </w:rPr>
        <w:t>六、其他需要报告的事项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北京市公安局门户网站（“北京市公安局”）网址为http://gaj.beijing.gov.cn/，如需了解更多政府信息，请登录查询。</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snapToGrid w:val="0"/>
                  <w:rPr>
                    <w:szCs w:val="21"/>
                  </w:rPr>
                </w:pPr>
                <w:r>
                  <w:rPr>
                    <w:rFonts w:hint="eastAsia"/>
                    <w:szCs w:val="21"/>
                  </w:rPr>
                  <w:fldChar w:fldCharType="begin"/>
                </w:r>
                <w:r>
                  <w:rPr>
                    <w:rFonts w:hint="eastAsia"/>
                    <w:szCs w:val="21"/>
                  </w:rPr>
                  <w:instrText xml:space="preserve"> PAGE  \* MERGEFORMAT </w:instrText>
                </w:r>
                <w:r>
                  <w:rPr>
                    <w:rFonts w:hint="eastAsia"/>
                    <w:szCs w:val="21"/>
                  </w:rPr>
                  <w:fldChar w:fldCharType="separate"/>
                </w:r>
                <w:r>
                  <w:rPr>
                    <w:szCs w:val="21"/>
                  </w:rPr>
                  <w:t>- 3 -</w:t>
                </w:r>
                <w:r>
                  <w:rPr>
                    <w:rFonts w:hint="eastAsia"/>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696A"/>
    <w:rsid w:val="00001433"/>
    <w:rsid w:val="0009218F"/>
    <w:rsid w:val="000C6C50"/>
    <w:rsid w:val="000D7E9F"/>
    <w:rsid w:val="000E2D69"/>
    <w:rsid w:val="001274B5"/>
    <w:rsid w:val="0013696A"/>
    <w:rsid w:val="00141889"/>
    <w:rsid w:val="00142275"/>
    <w:rsid w:val="0014628E"/>
    <w:rsid w:val="00165850"/>
    <w:rsid w:val="001805B9"/>
    <w:rsid w:val="00181974"/>
    <w:rsid w:val="00186F59"/>
    <w:rsid w:val="001A1877"/>
    <w:rsid w:val="001E5B01"/>
    <w:rsid w:val="001F51C9"/>
    <w:rsid w:val="001F706C"/>
    <w:rsid w:val="00257238"/>
    <w:rsid w:val="002F16EA"/>
    <w:rsid w:val="00332787"/>
    <w:rsid w:val="003A7AB5"/>
    <w:rsid w:val="003B7CF5"/>
    <w:rsid w:val="003F6892"/>
    <w:rsid w:val="00440ABD"/>
    <w:rsid w:val="0049541E"/>
    <w:rsid w:val="0049714B"/>
    <w:rsid w:val="004A4F46"/>
    <w:rsid w:val="004B3481"/>
    <w:rsid w:val="004C07BE"/>
    <w:rsid w:val="004C3D86"/>
    <w:rsid w:val="004C7017"/>
    <w:rsid w:val="004E0B16"/>
    <w:rsid w:val="004F7EE2"/>
    <w:rsid w:val="005036EA"/>
    <w:rsid w:val="0054478E"/>
    <w:rsid w:val="00590616"/>
    <w:rsid w:val="00596F43"/>
    <w:rsid w:val="005A6E83"/>
    <w:rsid w:val="005C3376"/>
    <w:rsid w:val="00602B56"/>
    <w:rsid w:val="006075EA"/>
    <w:rsid w:val="006528A1"/>
    <w:rsid w:val="006B140A"/>
    <w:rsid w:val="00703234"/>
    <w:rsid w:val="007206C5"/>
    <w:rsid w:val="007207C2"/>
    <w:rsid w:val="00733303"/>
    <w:rsid w:val="00733A6E"/>
    <w:rsid w:val="00746183"/>
    <w:rsid w:val="00753B3C"/>
    <w:rsid w:val="00756441"/>
    <w:rsid w:val="007702B4"/>
    <w:rsid w:val="007B1F19"/>
    <w:rsid w:val="007B2EC5"/>
    <w:rsid w:val="007E5C18"/>
    <w:rsid w:val="00813CD3"/>
    <w:rsid w:val="00830D9C"/>
    <w:rsid w:val="00862E21"/>
    <w:rsid w:val="00865A20"/>
    <w:rsid w:val="00872F2D"/>
    <w:rsid w:val="00893364"/>
    <w:rsid w:val="00897BEB"/>
    <w:rsid w:val="008D0589"/>
    <w:rsid w:val="008F63B3"/>
    <w:rsid w:val="00905112"/>
    <w:rsid w:val="00905952"/>
    <w:rsid w:val="0093068A"/>
    <w:rsid w:val="009324F1"/>
    <w:rsid w:val="009712B0"/>
    <w:rsid w:val="009F0369"/>
    <w:rsid w:val="00A22D8D"/>
    <w:rsid w:val="00A372ED"/>
    <w:rsid w:val="00AB1DDA"/>
    <w:rsid w:val="00AD433F"/>
    <w:rsid w:val="00B04E46"/>
    <w:rsid w:val="00B15AE6"/>
    <w:rsid w:val="00B15CC0"/>
    <w:rsid w:val="00B71C53"/>
    <w:rsid w:val="00BA49BB"/>
    <w:rsid w:val="00BB30B3"/>
    <w:rsid w:val="00BD6C7C"/>
    <w:rsid w:val="00C159FC"/>
    <w:rsid w:val="00C50376"/>
    <w:rsid w:val="00C63094"/>
    <w:rsid w:val="00C8297C"/>
    <w:rsid w:val="00CA3021"/>
    <w:rsid w:val="00CC5BBA"/>
    <w:rsid w:val="00CD5F12"/>
    <w:rsid w:val="00CD6E2D"/>
    <w:rsid w:val="00CE19D5"/>
    <w:rsid w:val="00D16B98"/>
    <w:rsid w:val="00D50244"/>
    <w:rsid w:val="00D64D0D"/>
    <w:rsid w:val="00D9615A"/>
    <w:rsid w:val="00DD1CCD"/>
    <w:rsid w:val="00DD7726"/>
    <w:rsid w:val="00E00DB4"/>
    <w:rsid w:val="00E14E6D"/>
    <w:rsid w:val="00E52199"/>
    <w:rsid w:val="00EA19F0"/>
    <w:rsid w:val="00EA20B3"/>
    <w:rsid w:val="00EB158E"/>
    <w:rsid w:val="00ED11ED"/>
    <w:rsid w:val="00ED1E44"/>
    <w:rsid w:val="00EE501B"/>
    <w:rsid w:val="00F34FAC"/>
    <w:rsid w:val="00F61278"/>
    <w:rsid w:val="00F80417"/>
    <w:rsid w:val="00F81A77"/>
    <w:rsid w:val="00F91C6D"/>
    <w:rsid w:val="00F94912"/>
    <w:rsid w:val="01B22AFC"/>
    <w:rsid w:val="06F23DA6"/>
    <w:rsid w:val="07A12D91"/>
    <w:rsid w:val="09A736DF"/>
    <w:rsid w:val="0BC351F1"/>
    <w:rsid w:val="0C6A618F"/>
    <w:rsid w:val="0FFE0616"/>
    <w:rsid w:val="109B479C"/>
    <w:rsid w:val="12FB43C9"/>
    <w:rsid w:val="156449B7"/>
    <w:rsid w:val="164B78A9"/>
    <w:rsid w:val="182A1081"/>
    <w:rsid w:val="2207319F"/>
    <w:rsid w:val="226B5522"/>
    <w:rsid w:val="230E423F"/>
    <w:rsid w:val="277E7F4E"/>
    <w:rsid w:val="28237FFA"/>
    <w:rsid w:val="287B4C85"/>
    <w:rsid w:val="296114F0"/>
    <w:rsid w:val="2971104E"/>
    <w:rsid w:val="2A585795"/>
    <w:rsid w:val="2EF628AA"/>
    <w:rsid w:val="305C4A45"/>
    <w:rsid w:val="322F42A2"/>
    <w:rsid w:val="333C6F77"/>
    <w:rsid w:val="33AA3DF8"/>
    <w:rsid w:val="33C5762A"/>
    <w:rsid w:val="33CF7F3A"/>
    <w:rsid w:val="33D934BB"/>
    <w:rsid w:val="342506F9"/>
    <w:rsid w:val="350D53C3"/>
    <w:rsid w:val="36B124CD"/>
    <w:rsid w:val="3742428A"/>
    <w:rsid w:val="3BE976F1"/>
    <w:rsid w:val="429B133D"/>
    <w:rsid w:val="44026DEA"/>
    <w:rsid w:val="45613345"/>
    <w:rsid w:val="46965B8C"/>
    <w:rsid w:val="493F0449"/>
    <w:rsid w:val="494356E4"/>
    <w:rsid w:val="49ED6AC9"/>
    <w:rsid w:val="4BE0654F"/>
    <w:rsid w:val="4E960960"/>
    <w:rsid w:val="52CF30BD"/>
    <w:rsid w:val="54EE47F5"/>
    <w:rsid w:val="56C01490"/>
    <w:rsid w:val="579D0870"/>
    <w:rsid w:val="58DC1D75"/>
    <w:rsid w:val="59F9527D"/>
    <w:rsid w:val="5F490709"/>
    <w:rsid w:val="615B3B6F"/>
    <w:rsid w:val="62FD69F1"/>
    <w:rsid w:val="68955427"/>
    <w:rsid w:val="6AA76051"/>
    <w:rsid w:val="6BC96BDC"/>
    <w:rsid w:val="6D4F2CAE"/>
    <w:rsid w:val="6E5C009C"/>
    <w:rsid w:val="6F004883"/>
    <w:rsid w:val="72730CB3"/>
    <w:rsid w:val="727F5290"/>
    <w:rsid w:val="75A153C0"/>
    <w:rsid w:val="75EE07F3"/>
    <w:rsid w:val="760279D0"/>
    <w:rsid w:val="76935061"/>
    <w:rsid w:val="7A260714"/>
    <w:rsid w:val="7C116E00"/>
    <w:rsid w:val="7FAD2960"/>
    <w:rsid w:val="7FBD6038"/>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link w:val="11"/>
    <w:semiHidden/>
    <w:qFormat/>
    <w:uiPriority w:val="99"/>
    <w:pPr>
      <w:tabs>
        <w:tab w:val="center" w:pos="4153"/>
        <w:tab w:val="right" w:pos="8306"/>
      </w:tabs>
      <w:snapToGrid w:val="0"/>
      <w:jc w:val="left"/>
    </w:pPr>
    <w:rPr>
      <w:sz w:val="18"/>
      <w:szCs w:val="18"/>
    </w:rPr>
  </w:style>
  <w:style w:type="paragraph" w:styleId="4">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locked/>
    <w:uiPriority w:val="0"/>
    <w:rPr>
      <w:b/>
    </w:rPr>
  </w:style>
  <w:style w:type="character" w:customStyle="1" w:styleId="10">
    <w:name w:val="页眉 Char"/>
    <w:basedOn w:val="8"/>
    <w:link w:val="4"/>
    <w:semiHidden/>
    <w:qFormat/>
    <w:locked/>
    <w:uiPriority w:val="99"/>
    <w:rPr>
      <w:rFonts w:cs="Times New Roman"/>
      <w:sz w:val="18"/>
      <w:szCs w:val="18"/>
    </w:rPr>
  </w:style>
  <w:style w:type="character" w:customStyle="1" w:styleId="11">
    <w:name w:val="页脚 Char"/>
    <w:basedOn w:val="8"/>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479</Words>
  <Characters>2731</Characters>
  <Lines>22</Lines>
  <Paragraphs>6</Paragraphs>
  <TotalTime>133</TotalTime>
  <ScaleCrop>false</ScaleCrop>
  <LinksUpToDate>false</LinksUpToDate>
  <CharactersWithSpaces>3204</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2020-01-02T01:32:00Z</dcterms:created>
  <dc:creator>1</dc:creator>
  <cp:lastModifiedBy>wangzhiyong</cp:lastModifiedBy>
  <cp:lastPrinted>2022-01-04T08:40:00Z</cp:lastPrinted>
  <dcterms:modified xsi:type="dcterms:W3CDTF">2023-01-16T09:31:40Z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