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eastAsia="zh-CN"/>
        </w:rPr>
        <w:t>北京市公安局平谷分局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202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2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年政府信息公开工作年度报告</w:t>
      </w:r>
    </w:p>
    <w:p>
      <w:pPr>
        <w:widowControl/>
        <w:spacing w:line="560" w:lineRule="exact"/>
        <w:jc w:val="left"/>
        <w:rPr>
          <w:rFonts w:ascii="微软雅黑" w:hAnsi="微软雅黑" w:eastAsia="微软雅黑" w:cs="宋体"/>
          <w:color w:val="404040"/>
          <w:kern w:val="0"/>
          <w:sz w:val="32"/>
          <w:szCs w:val="32"/>
        </w:rPr>
      </w:pPr>
      <w:r>
        <w:rPr>
          <w:rFonts w:hint="eastAsia" w:ascii="微软雅黑" w:hAnsi="微软雅黑" w:eastAsia="微软雅黑" w:cs="宋体"/>
          <w:color w:val="404040"/>
          <w:kern w:val="0"/>
          <w:sz w:val="24"/>
        </w:rPr>
        <w:t>　　</w:t>
      </w:r>
      <w:r>
        <w:rPr>
          <w:rFonts w:hint="eastAsia" w:ascii="微软雅黑" w:hAnsi="微软雅黑" w:eastAsia="微软雅黑" w:cs="宋体"/>
          <w:color w:val="404040"/>
          <w:kern w:val="0"/>
          <w:sz w:val="32"/>
          <w:szCs w:val="32"/>
        </w:rPr>
        <w:t xml:space="preserve"> </w:t>
      </w:r>
      <w:r>
        <w:rPr>
          <w:rFonts w:ascii="微软雅黑" w:hAnsi="微软雅黑" w:eastAsia="微软雅黑" w:cs="宋体"/>
          <w:color w:val="404040"/>
          <w:kern w:val="0"/>
          <w:sz w:val="32"/>
          <w:szCs w:val="32"/>
        </w:rPr>
        <w:t xml:space="preserve">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72" w:firstLineChars="200"/>
        <w:jc w:val="left"/>
        <w:textAlignment w:val="auto"/>
        <w:rPr>
          <w:rFonts w:hint="eastAsia" w:ascii="仿宋_GB2312" w:hAnsi="宋体" w:eastAsia="仿宋_GB2312" w:cs="宋体"/>
          <w:spacing w:val="8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spacing w:val="8"/>
          <w:kern w:val="0"/>
          <w:sz w:val="32"/>
          <w:szCs w:val="32"/>
        </w:rPr>
        <w:t>依据《中华人民共和国政府信息公开条例》(以下简称《政府信息公开条例》)第五十条规定，编制本报告。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72" w:firstLineChars="200"/>
        <w:jc w:val="left"/>
        <w:textAlignment w:val="auto"/>
        <w:rPr>
          <w:rFonts w:ascii="黑体" w:hAnsi="黑体" w:eastAsia="黑体" w:cs="宋体"/>
          <w:spacing w:val="8"/>
          <w:kern w:val="0"/>
          <w:sz w:val="32"/>
          <w:szCs w:val="32"/>
        </w:rPr>
      </w:pPr>
      <w:r>
        <w:rPr>
          <w:rFonts w:ascii="黑体" w:hAnsi="黑体" w:eastAsia="黑体" w:cs="宋体"/>
          <w:spacing w:val="8"/>
          <w:kern w:val="0"/>
          <w:sz w:val="32"/>
          <w:szCs w:val="32"/>
        </w:rPr>
        <w:t>一、总体情况</w:t>
      </w:r>
    </w:p>
    <w:p>
      <w:pPr>
        <w:pStyle w:val="2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宋体" w:eastAsia="仿宋_GB2312" w:cs="宋体"/>
          <w:spacing w:val="8"/>
          <w:kern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2022年度，平谷分局深入贯彻党的二十大精神，始终坚定贯彻立党为公、执政为民的本质要求，维护人民利益</w:t>
      </w:r>
      <w:r>
        <w:rPr>
          <w:rFonts w:hint="eastAsia" w:ascii="仿宋_GB2312" w:hAnsi="宋体" w:eastAsia="仿宋_GB2312" w:cs="宋体"/>
          <w:spacing w:val="8"/>
          <w:kern w:val="0"/>
          <w:sz w:val="32"/>
          <w:szCs w:val="32"/>
          <w:lang w:eastAsia="zh-CN"/>
        </w:rPr>
        <w:t>，按照“公开为常态、不公开为例外”的总原则，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全面落实</w:t>
      </w:r>
      <w:r>
        <w:rPr>
          <w:rFonts w:hint="eastAsia" w:ascii="仿宋_GB2312" w:hAnsi="宋体" w:eastAsia="仿宋_GB2312" w:cs="宋体"/>
          <w:spacing w:val="8"/>
          <w:kern w:val="0"/>
          <w:sz w:val="32"/>
          <w:szCs w:val="32"/>
        </w:rPr>
        <w:t>《中华人民共和国政府信息公开条例》</w:t>
      </w:r>
      <w:r>
        <w:rPr>
          <w:rFonts w:hint="eastAsia" w:ascii="仿宋_GB2312" w:hAnsi="宋体" w:eastAsia="仿宋_GB2312" w:cs="宋体"/>
          <w:spacing w:val="8"/>
          <w:kern w:val="0"/>
          <w:sz w:val="32"/>
          <w:szCs w:val="32"/>
          <w:lang w:eastAsia="zh-CN"/>
        </w:rPr>
        <w:t>和《北京市政府信息公开规定》，不断优化主动公开内容，完善申请公开程序，强化为民服务意识，依法保障人民群众的知情权、参与权和监督权。</w:t>
      </w:r>
    </w:p>
    <w:p>
      <w:pPr>
        <w:pStyle w:val="2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75" w:firstLineChars="200"/>
        <w:textAlignment w:val="auto"/>
        <w:rPr>
          <w:rFonts w:hint="eastAsia" w:ascii="楷体_GB2312" w:hAnsi="楷体_GB2312" w:eastAsia="楷体_GB2312" w:cs="楷体_GB2312"/>
          <w:b/>
          <w:bCs/>
          <w:spacing w:val="8"/>
          <w:kern w:val="0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b/>
          <w:bCs/>
          <w:spacing w:val="8"/>
          <w:kern w:val="0"/>
          <w:sz w:val="32"/>
          <w:szCs w:val="32"/>
          <w:lang w:val="en-US" w:eastAsia="zh-CN"/>
        </w:rPr>
        <w:t>(一)</w:t>
      </w:r>
      <w:r>
        <w:rPr>
          <w:rFonts w:hint="eastAsia" w:ascii="楷体_GB2312" w:hAnsi="楷体_GB2312" w:eastAsia="楷体_GB2312" w:cs="楷体_GB2312"/>
          <w:b/>
          <w:bCs/>
          <w:spacing w:val="8"/>
          <w:kern w:val="0"/>
          <w:sz w:val="32"/>
          <w:szCs w:val="32"/>
          <w:lang w:eastAsia="zh-CN"/>
        </w:rPr>
        <w:t>组织领导情况</w:t>
      </w:r>
    </w:p>
    <w:p>
      <w:pPr>
        <w:pStyle w:val="2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72" w:firstLineChars="200"/>
        <w:textAlignment w:val="auto"/>
        <w:rPr>
          <w:rFonts w:hint="eastAsia" w:ascii="仿宋_GB2312" w:hAnsi="宋体" w:eastAsia="仿宋_GB2312" w:cs="宋体"/>
          <w:spacing w:val="8"/>
          <w:kern w:val="0"/>
          <w:sz w:val="32"/>
          <w:szCs w:val="32"/>
          <w:lang w:eastAsia="zh-CN"/>
        </w:rPr>
      </w:pPr>
      <w:r>
        <w:rPr>
          <w:rFonts w:hint="eastAsia" w:ascii="仿宋_GB2312" w:hAnsi="宋体" w:eastAsia="仿宋_GB2312" w:cs="宋体"/>
          <w:spacing w:val="8"/>
          <w:kern w:val="0"/>
          <w:sz w:val="32"/>
          <w:szCs w:val="32"/>
          <w:lang w:eastAsia="zh-CN"/>
        </w:rPr>
        <w:t>分局成立以政治处主任胡志全为组长的政府信息公开领导小组组长，分局指挥处、警保处、法制、刑侦、治安、交通以及警务支援大队主管领导为小组成员，领导小组下设办公室，法制支队支队长任办公室主任，由法制支队信访承担日常组织协调等工作。</w:t>
      </w:r>
    </w:p>
    <w:p>
      <w:pPr>
        <w:pStyle w:val="2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704" w:leftChars="0"/>
        <w:textAlignment w:val="auto"/>
        <w:rPr>
          <w:rFonts w:hint="eastAsia" w:ascii="楷体_GB2312" w:hAnsi="楷体_GB2312" w:eastAsia="楷体_GB2312" w:cs="楷体_GB2312"/>
          <w:b/>
          <w:bCs/>
          <w:spacing w:val="8"/>
          <w:kern w:val="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宋体"/>
          <w:b/>
          <w:bCs/>
          <w:spacing w:val="8"/>
          <w:kern w:val="0"/>
          <w:sz w:val="32"/>
          <w:szCs w:val="32"/>
          <w:lang w:val="en-US" w:eastAsia="zh-CN"/>
        </w:rPr>
        <w:t>（二）</w:t>
      </w:r>
      <w:r>
        <w:rPr>
          <w:rFonts w:hint="eastAsia" w:ascii="楷体_GB2312" w:hAnsi="楷体_GB2312" w:eastAsia="楷体_GB2312" w:cs="楷体_GB2312"/>
          <w:b/>
          <w:bCs/>
          <w:spacing w:val="8"/>
          <w:kern w:val="0"/>
          <w:sz w:val="32"/>
          <w:szCs w:val="32"/>
          <w:lang w:val="en-US" w:eastAsia="zh-CN"/>
        </w:rPr>
        <w:t>主动公开情况</w:t>
      </w:r>
    </w:p>
    <w:p>
      <w:pPr>
        <w:pStyle w:val="2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704"/>
        <w:textAlignment w:val="auto"/>
        <w:rPr>
          <w:rFonts w:hint="eastAsia" w:ascii="仿宋_GB2312" w:hAnsi="宋体" w:eastAsia="仿宋_GB2312" w:cs="宋体"/>
          <w:color w:val="auto"/>
          <w:spacing w:val="8"/>
          <w:kern w:val="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spacing w:val="8"/>
          <w:kern w:val="0"/>
          <w:sz w:val="32"/>
          <w:szCs w:val="32"/>
          <w:lang w:val="en-US" w:eastAsia="zh-CN"/>
        </w:rPr>
        <w:t>平谷分局扎实推进政务信息公开透明、及时、全面、高效，紧密围绕群众普遍关心、涉及群众切身利益的政府信息进行全面公开和正确引导。2022年，平谷分局进一步加大网上信息公开力度，通过“平安绿谷”微信公众号、“平安北京平谷”微博平台共发布公开信息</w:t>
      </w:r>
      <w:r>
        <w:rPr>
          <w:rFonts w:hint="eastAsia" w:ascii="仿宋_GB2312" w:hAnsi="宋体" w:eastAsia="仿宋_GB2312" w:cs="宋体"/>
          <w:color w:val="auto"/>
          <w:spacing w:val="8"/>
          <w:kern w:val="0"/>
          <w:sz w:val="32"/>
          <w:szCs w:val="32"/>
          <w:u w:val="none"/>
          <w:lang w:val="en-US" w:eastAsia="zh-CN"/>
        </w:rPr>
        <w:t>205</w:t>
      </w:r>
      <w:r>
        <w:rPr>
          <w:rFonts w:hint="eastAsia" w:ascii="仿宋_GB2312" w:hAnsi="宋体" w:eastAsia="仿宋_GB2312" w:cs="宋体"/>
          <w:color w:val="auto"/>
          <w:spacing w:val="8"/>
          <w:kern w:val="0"/>
          <w:sz w:val="32"/>
          <w:szCs w:val="32"/>
          <w:lang w:val="en-US" w:eastAsia="zh-CN"/>
        </w:rPr>
        <w:t>条。</w:t>
      </w:r>
    </w:p>
    <w:p>
      <w:pPr>
        <w:pStyle w:val="2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704" w:leftChars="0"/>
        <w:textAlignment w:val="auto"/>
        <w:rPr>
          <w:rFonts w:hint="eastAsia" w:ascii="楷体_GB2312" w:hAnsi="楷体_GB2312" w:eastAsia="楷体_GB2312" w:cs="楷体_GB2312"/>
          <w:b/>
          <w:bCs/>
          <w:spacing w:val="8"/>
          <w:kern w:val="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宋体"/>
          <w:b/>
          <w:bCs/>
          <w:spacing w:val="8"/>
          <w:kern w:val="0"/>
          <w:sz w:val="32"/>
          <w:szCs w:val="32"/>
          <w:lang w:val="en-US" w:eastAsia="zh-CN"/>
        </w:rPr>
        <w:t>（三）</w:t>
      </w:r>
      <w:r>
        <w:rPr>
          <w:rFonts w:hint="eastAsia" w:ascii="楷体_GB2312" w:hAnsi="楷体_GB2312" w:eastAsia="楷体_GB2312" w:cs="楷体_GB2312"/>
          <w:b/>
          <w:bCs/>
          <w:spacing w:val="8"/>
          <w:kern w:val="0"/>
          <w:sz w:val="32"/>
          <w:szCs w:val="32"/>
          <w:lang w:val="en-US" w:eastAsia="zh-CN"/>
        </w:rPr>
        <w:t>依申请公开办理情况</w:t>
      </w:r>
    </w:p>
    <w:p>
      <w:pPr>
        <w:pStyle w:val="2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704" w:leftChars="0"/>
        <w:textAlignment w:val="auto"/>
        <w:rPr>
          <w:rFonts w:hint="eastAsia" w:ascii="仿宋_GB2312" w:hAnsi="宋体" w:eastAsia="仿宋_GB2312" w:cs="宋体"/>
          <w:spacing w:val="8"/>
          <w:kern w:val="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宋体"/>
          <w:spacing w:val="8"/>
          <w:kern w:val="0"/>
          <w:sz w:val="32"/>
          <w:szCs w:val="32"/>
          <w:lang w:val="en-US" w:eastAsia="zh-CN"/>
        </w:rPr>
        <w:t>2022年，平谷分局共接收政府信息公开申请7件，</w:t>
      </w:r>
    </w:p>
    <w:p>
      <w:pPr>
        <w:pStyle w:val="2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_GB2312" w:hAnsi="宋体" w:eastAsia="仿宋_GB2312" w:cs="宋体"/>
          <w:spacing w:val="8"/>
          <w:kern w:val="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宋体"/>
          <w:spacing w:val="8"/>
          <w:kern w:val="0"/>
          <w:sz w:val="32"/>
          <w:szCs w:val="32"/>
          <w:lang w:val="en-US" w:eastAsia="zh-CN"/>
        </w:rPr>
        <w:t>上年结转0件。全年共办结7件，其中，依法“部分公开” 2件，占总数的28.6%；“无法提供”4件，占总数的57.1%（本机关不掌握相关政府信息）；“不予处理”1件，占总数14.3%。</w:t>
      </w:r>
    </w:p>
    <w:p>
      <w:pPr>
        <w:pStyle w:val="2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704" w:leftChars="0"/>
        <w:textAlignment w:val="auto"/>
        <w:rPr>
          <w:rFonts w:hint="eastAsia" w:ascii="楷体_GB2312" w:hAnsi="楷体_GB2312" w:eastAsia="楷体_GB2312" w:cs="楷体_GB2312"/>
          <w:b/>
          <w:bCs/>
          <w:spacing w:val="8"/>
          <w:kern w:val="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宋体"/>
          <w:b/>
          <w:bCs/>
          <w:spacing w:val="8"/>
          <w:kern w:val="0"/>
          <w:sz w:val="32"/>
          <w:szCs w:val="32"/>
          <w:lang w:val="en-US" w:eastAsia="zh-CN"/>
        </w:rPr>
        <w:t>（四）</w:t>
      </w:r>
      <w:r>
        <w:rPr>
          <w:rFonts w:hint="eastAsia" w:ascii="楷体_GB2312" w:hAnsi="楷体_GB2312" w:eastAsia="楷体_GB2312" w:cs="楷体_GB2312"/>
          <w:b/>
          <w:bCs/>
          <w:spacing w:val="8"/>
          <w:kern w:val="0"/>
          <w:sz w:val="32"/>
          <w:szCs w:val="32"/>
          <w:lang w:val="en-US" w:eastAsia="zh-CN"/>
        </w:rPr>
        <w:t>政府信息公开监督保障和教育培训情况</w:t>
      </w:r>
    </w:p>
    <w:p>
      <w:pPr>
        <w:pStyle w:val="2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704" w:leftChars="0"/>
        <w:textAlignment w:val="auto"/>
        <w:rPr>
          <w:rFonts w:hint="eastAsia" w:ascii="仿宋_GB2312" w:hAnsi="宋体" w:eastAsia="仿宋_GB2312" w:cs="宋体"/>
          <w:color w:val="auto"/>
          <w:spacing w:val="8"/>
          <w:kern w:val="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spacing w:val="8"/>
          <w:kern w:val="0"/>
          <w:sz w:val="32"/>
          <w:szCs w:val="32"/>
          <w:lang w:val="en-US" w:eastAsia="zh-CN"/>
        </w:rPr>
        <w:t>平谷分局在平谷区府前街21号信访接待室设立政府</w:t>
      </w:r>
    </w:p>
    <w:p>
      <w:pPr>
        <w:pStyle w:val="2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default" w:ascii="仿宋_GB2312" w:hAnsi="宋体" w:eastAsia="仿宋_GB2312" w:cs="宋体"/>
          <w:color w:val="auto"/>
          <w:spacing w:val="8"/>
          <w:kern w:val="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spacing w:val="8"/>
          <w:kern w:val="0"/>
          <w:sz w:val="32"/>
          <w:szCs w:val="32"/>
          <w:lang w:val="en-US" w:eastAsia="zh-CN"/>
        </w:rPr>
        <w:t>信息公开申请受理点，设立2名兼职人员（民警1人，辅警1人）。2022年，分局召开政府信息公开工作会议及专题会议2次，组织培训2次，培训人员24人，从事政府信息公开工作人员2人。</w:t>
      </w:r>
    </w:p>
    <w:p>
      <w:pPr>
        <w:numPr>
          <w:ilvl w:val="0"/>
          <w:numId w:val="1"/>
        </w:numPr>
        <w:spacing w:line="560" w:lineRule="exact"/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主动公开政府信息情况</w:t>
      </w:r>
    </w:p>
    <w:p>
      <w:pPr>
        <w:pStyle w:val="2"/>
        <w:numPr>
          <w:ilvl w:val="0"/>
          <w:numId w:val="0"/>
        </w:numPr>
        <w:rPr>
          <w:rFonts w:hint="eastAsia"/>
        </w:rPr>
      </w:pPr>
    </w:p>
    <w:tbl>
      <w:tblPr>
        <w:tblStyle w:val="4"/>
        <w:tblW w:w="9740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435"/>
        <w:gridCol w:w="2435"/>
        <w:gridCol w:w="2435"/>
        <w:gridCol w:w="243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9740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9BC2E6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第二十条第（一）项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243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BDD7EE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信息内容</w:t>
            </w:r>
          </w:p>
        </w:tc>
        <w:tc>
          <w:tcPr>
            <w:tcW w:w="243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DEBF7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本年制发件数</w:t>
            </w:r>
          </w:p>
        </w:tc>
        <w:tc>
          <w:tcPr>
            <w:tcW w:w="243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DEBF7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本年废止件数</w:t>
            </w:r>
          </w:p>
        </w:tc>
        <w:tc>
          <w:tcPr>
            <w:tcW w:w="243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DEBF7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现行有效件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243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BDD7EE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规章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tabs>
                <w:tab w:val="center" w:pos="1160"/>
              </w:tabs>
              <w:spacing w:before="0" w:beforeAutospacing="0" w:after="0" w:afterAutospacing="0"/>
              <w:ind w:left="0" w:leftChars="0" w:right="0" w:rightChars="0"/>
              <w:jc w:val="left"/>
              <w:rPr>
                <w:rFonts w:hint="default"/>
                <w:lang w:val="en-US"/>
              </w:rPr>
            </w:pPr>
            <w:r>
              <w:rPr>
                <w:rFonts w:ascii="Calibri" w:hAnsi="Calibri" w:cs="Calibri"/>
                <w:kern w:val="0"/>
                <w:sz w:val="21"/>
                <w:szCs w:val="21"/>
                <w:lang w:val="en-US" w:eastAsia="zh-CN" w:bidi="ar"/>
              </w:rPr>
              <w:t> </w:t>
            </w:r>
            <w:r>
              <w:rPr>
                <w:rFonts w:hint="eastAsia" w:ascii="Calibri" w:hAnsi="Calibri" w:cs="Calibri"/>
                <w:kern w:val="0"/>
                <w:sz w:val="21"/>
                <w:szCs w:val="21"/>
                <w:lang w:val="en-US" w:eastAsia="zh-CN" w:bidi="ar"/>
              </w:rPr>
              <w:tab/>
            </w:r>
            <w:r>
              <w:rPr>
                <w:rFonts w:hint="eastAsia" w:ascii="Calibri" w:hAnsi="Calibri" w:cs="Calibri"/>
                <w:kern w:val="0"/>
                <w:sz w:val="21"/>
                <w:szCs w:val="21"/>
                <w:lang w:val="en-US" w:eastAsia="zh-CN" w:bidi="ar"/>
              </w:rPr>
              <w:t>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tabs>
                <w:tab w:val="center" w:pos="1160"/>
              </w:tabs>
              <w:spacing w:before="0" w:beforeAutospacing="0" w:after="0" w:afterAutospacing="0"/>
              <w:ind w:left="0" w:leftChars="0" w:right="0" w:rightChars="0"/>
              <w:jc w:val="left"/>
              <w:rPr>
                <w:rFonts w:hint="default"/>
                <w:lang w:val="en-US"/>
              </w:rPr>
            </w:pPr>
            <w:r>
              <w:rPr>
                <w:rFonts w:ascii="Calibri" w:hAnsi="Calibri" w:cs="Calibri"/>
                <w:kern w:val="0"/>
                <w:sz w:val="21"/>
                <w:szCs w:val="21"/>
                <w:lang w:val="en-US" w:eastAsia="zh-CN" w:bidi="ar"/>
              </w:rPr>
              <w:t> </w:t>
            </w:r>
            <w:r>
              <w:rPr>
                <w:rFonts w:hint="eastAsia" w:ascii="Calibri" w:hAnsi="Calibri" w:cs="Calibri"/>
                <w:kern w:val="0"/>
                <w:sz w:val="21"/>
                <w:szCs w:val="21"/>
                <w:lang w:val="en-US" w:eastAsia="zh-CN" w:bidi="ar"/>
              </w:rPr>
              <w:tab/>
            </w:r>
            <w:r>
              <w:rPr>
                <w:rFonts w:hint="eastAsia" w:ascii="Calibri" w:hAnsi="Calibri" w:cs="Calibri"/>
                <w:kern w:val="0"/>
                <w:sz w:val="21"/>
                <w:szCs w:val="21"/>
                <w:lang w:val="en-US" w:eastAsia="zh-CN" w:bidi="ar"/>
              </w:rPr>
              <w:t>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tabs>
                <w:tab w:val="center" w:pos="1160"/>
              </w:tabs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/>
              </w:rPr>
            </w:pPr>
            <w:r>
              <w:rPr>
                <w:rFonts w:ascii="Calibri" w:hAnsi="Calibri" w:cs="Calibri"/>
                <w:kern w:val="0"/>
                <w:sz w:val="21"/>
                <w:szCs w:val="21"/>
                <w:lang w:val="en-US" w:eastAsia="zh-CN" w:bidi="ar"/>
              </w:rPr>
              <w:t> </w:t>
            </w:r>
            <w:r>
              <w:rPr>
                <w:rFonts w:hint="eastAsia" w:ascii="Calibri" w:hAnsi="Calibri" w:cs="Calibri"/>
                <w:kern w:val="0"/>
                <w:sz w:val="21"/>
                <w:szCs w:val="21"/>
                <w:lang w:val="en-US" w:eastAsia="zh-CN" w:bidi="ar"/>
              </w:rPr>
              <w:tab/>
            </w:r>
            <w:r>
              <w:rPr>
                <w:rFonts w:hint="eastAsia" w:ascii="Calibri" w:hAnsi="Calibri" w:cs="Calibri"/>
                <w:kern w:val="0"/>
                <w:sz w:val="21"/>
                <w:szCs w:val="21"/>
                <w:lang w:val="en-US" w:eastAsia="zh-CN" w:bidi="ar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243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BDD7EE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行政规范性文件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tabs>
                <w:tab w:val="center" w:pos="1160"/>
              </w:tabs>
              <w:spacing w:before="0" w:beforeAutospacing="0" w:after="0" w:afterAutospacing="0"/>
              <w:ind w:left="0" w:leftChars="0" w:right="0" w:rightChars="0"/>
              <w:jc w:val="left"/>
              <w:rPr>
                <w:rFonts w:hint="default"/>
                <w:lang w:val="en-US"/>
              </w:rPr>
            </w:pPr>
            <w:r>
              <w:rPr>
                <w:rFonts w:hint="default" w:ascii="Calibri" w:hAnsi="Calibri" w:cs="Calibri"/>
                <w:kern w:val="0"/>
                <w:sz w:val="21"/>
                <w:szCs w:val="21"/>
                <w:lang w:val="en-US" w:eastAsia="zh-CN" w:bidi="ar"/>
              </w:rPr>
              <w:t> </w:t>
            </w:r>
            <w:r>
              <w:rPr>
                <w:rFonts w:hint="eastAsia" w:ascii="Calibri" w:hAnsi="Calibri" w:cs="Calibri"/>
                <w:kern w:val="0"/>
                <w:sz w:val="21"/>
                <w:szCs w:val="21"/>
                <w:lang w:val="en-US" w:eastAsia="zh-CN" w:bidi="ar"/>
              </w:rPr>
              <w:tab/>
            </w:r>
            <w:r>
              <w:rPr>
                <w:rFonts w:hint="eastAsia" w:ascii="Calibri" w:hAnsi="Calibri" w:cs="Calibri"/>
                <w:kern w:val="0"/>
                <w:sz w:val="21"/>
                <w:szCs w:val="21"/>
                <w:lang w:val="en-US" w:eastAsia="zh-CN" w:bidi="ar"/>
              </w:rPr>
              <w:t>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tabs>
                <w:tab w:val="center" w:pos="1160"/>
              </w:tabs>
              <w:spacing w:before="0" w:beforeAutospacing="0" w:after="0" w:afterAutospacing="0"/>
              <w:ind w:left="0" w:leftChars="0" w:right="0" w:rightChars="0"/>
              <w:jc w:val="left"/>
              <w:rPr>
                <w:rFonts w:hint="default"/>
                <w:lang w:val="en-US"/>
              </w:rPr>
            </w:pPr>
            <w:r>
              <w:rPr>
                <w:rFonts w:hint="default" w:ascii="Calibri" w:hAnsi="Calibri" w:cs="Calibri"/>
                <w:kern w:val="0"/>
                <w:sz w:val="21"/>
                <w:szCs w:val="21"/>
                <w:lang w:val="en-US" w:eastAsia="zh-CN" w:bidi="ar"/>
              </w:rPr>
              <w:t> </w:t>
            </w:r>
            <w:r>
              <w:rPr>
                <w:rFonts w:hint="eastAsia" w:ascii="Calibri" w:hAnsi="Calibri" w:cs="Calibri"/>
                <w:kern w:val="0"/>
                <w:sz w:val="21"/>
                <w:szCs w:val="21"/>
                <w:lang w:val="en-US" w:eastAsia="zh-CN" w:bidi="ar"/>
              </w:rPr>
              <w:tab/>
            </w:r>
            <w:r>
              <w:rPr>
                <w:rFonts w:hint="eastAsia" w:ascii="Calibri" w:hAnsi="Calibri" w:cs="Calibri"/>
                <w:kern w:val="0"/>
                <w:sz w:val="21"/>
                <w:szCs w:val="21"/>
                <w:lang w:val="en-US" w:eastAsia="zh-CN" w:bidi="ar"/>
              </w:rPr>
              <w:t>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tabs>
                <w:tab w:val="center" w:pos="1160"/>
              </w:tabs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/>
              </w:rPr>
            </w:pPr>
            <w:r>
              <w:rPr>
                <w:rFonts w:hint="default" w:ascii="Calibri" w:hAnsi="Calibri" w:cs="Calibri"/>
                <w:kern w:val="0"/>
                <w:sz w:val="21"/>
                <w:szCs w:val="21"/>
                <w:lang w:val="en-US" w:eastAsia="zh-CN" w:bidi="ar"/>
              </w:rPr>
              <w:t> </w:t>
            </w:r>
            <w:r>
              <w:rPr>
                <w:rFonts w:hint="eastAsia" w:ascii="Calibri" w:hAnsi="Calibri" w:cs="Calibri"/>
                <w:kern w:val="0"/>
                <w:sz w:val="21"/>
                <w:szCs w:val="21"/>
                <w:lang w:val="en-US" w:eastAsia="zh-CN" w:bidi="ar"/>
              </w:rPr>
              <w:tab/>
            </w:r>
            <w:r>
              <w:rPr>
                <w:rFonts w:hint="eastAsia" w:ascii="Calibri" w:hAnsi="Calibri" w:cs="Calibri"/>
                <w:kern w:val="0"/>
                <w:sz w:val="21"/>
                <w:szCs w:val="21"/>
                <w:lang w:val="en-US" w:eastAsia="zh-CN" w:bidi="ar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9740" w:type="dxa"/>
            <w:gridSpan w:val="4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9BC2E6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第二十条第（五）项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243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BDD7EE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信息内容</w:t>
            </w:r>
          </w:p>
        </w:tc>
        <w:tc>
          <w:tcPr>
            <w:tcW w:w="7305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DDEBF7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本年处理决定数量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243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BDD7EE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行政许可</w:t>
            </w:r>
          </w:p>
        </w:tc>
        <w:tc>
          <w:tcPr>
            <w:tcW w:w="7305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tabs>
                <w:tab w:val="center" w:pos="3595"/>
              </w:tabs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/>
              </w:rPr>
            </w:pPr>
            <w:r>
              <w:rPr>
                <w:rFonts w:hint="default" w:ascii="Calibri" w:hAnsi="Calibri" w:cs="Calibri"/>
                <w:kern w:val="0"/>
                <w:sz w:val="21"/>
                <w:szCs w:val="21"/>
                <w:lang w:val="en-US" w:eastAsia="zh-CN" w:bidi="ar"/>
              </w:rPr>
              <w:t> </w:t>
            </w:r>
            <w:r>
              <w:rPr>
                <w:rFonts w:hint="eastAsia" w:ascii="Calibri" w:hAnsi="Calibri" w:cs="Calibri"/>
                <w:kern w:val="0"/>
                <w:sz w:val="21"/>
                <w:szCs w:val="21"/>
                <w:lang w:val="en-US" w:eastAsia="zh-CN" w:bidi="ar"/>
              </w:rPr>
              <w:tab/>
            </w:r>
            <w:r>
              <w:rPr>
                <w:rFonts w:hint="eastAsia" w:ascii="Calibri" w:hAnsi="Calibri" w:cs="Calibri"/>
                <w:kern w:val="0"/>
                <w:sz w:val="21"/>
                <w:szCs w:val="21"/>
                <w:lang w:val="en-US" w:eastAsia="zh-CN" w:bidi="ar"/>
              </w:rPr>
              <w:t>61705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9740" w:type="dxa"/>
            <w:gridSpan w:val="4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9BC2E6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第二十条第（六）项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243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BDD7EE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信息内容</w:t>
            </w:r>
          </w:p>
        </w:tc>
        <w:tc>
          <w:tcPr>
            <w:tcW w:w="7305" w:type="dxa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DEBF7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本年处理决定数量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243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BDD7EE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行政处罚</w:t>
            </w:r>
          </w:p>
        </w:tc>
        <w:tc>
          <w:tcPr>
            <w:tcW w:w="7305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tabs>
                <w:tab w:val="center" w:pos="3595"/>
              </w:tabs>
              <w:spacing w:before="0" w:beforeAutospacing="0" w:after="0" w:afterAutospacing="0"/>
              <w:ind w:left="0" w:right="0"/>
              <w:jc w:val="left"/>
              <w:rPr>
                <w:rFonts w:hint="default" w:ascii="Calibri" w:hAnsi="Calibri" w:cs="Calibri"/>
                <w:sz w:val="21"/>
                <w:szCs w:val="21"/>
                <w:lang w:val="en-US"/>
              </w:rPr>
            </w:pPr>
            <w:r>
              <w:rPr>
                <w:rFonts w:hint="default" w:ascii="Calibri" w:hAnsi="Calibri" w:eastAsia="宋体" w:cs="Calibri"/>
                <w:color w:val="000000"/>
                <w:kern w:val="0"/>
                <w:sz w:val="21"/>
                <w:szCs w:val="21"/>
                <w:lang w:val="en-US" w:eastAsia="zh-CN" w:bidi="ar"/>
              </w:rPr>
              <w:t>　</w:t>
            </w:r>
            <w:r>
              <w:rPr>
                <w:rFonts w:hint="default" w:ascii="Calibri" w:hAnsi="Calibri" w:cs="Calibri"/>
                <w:color w:val="000000"/>
                <w:kern w:val="0"/>
                <w:sz w:val="21"/>
                <w:szCs w:val="21"/>
                <w:lang w:val="en-US" w:eastAsia="zh-CN" w:bidi="ar"/>
              </w:rPr>
              <w:tab/>
            </w:r>
            <w:r>
              <w:rPr>
                <w:rFonts w:hint="default" w:ascii="Calibri" w:hAnsi="Calibri" w:cs="Calibri"/>
                <w:color w:val="000000"/>
                <w:kern w:val="0"/>
                <w:sz w:val="21"/>
                <w:szCs w:val="21"/>
                <w:lang w:val="en-US" w:eastAsia="zh-CN" w:bidi="ar"/>
              </w:rPr>
              <w:t>414712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243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BDD7EE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行政强制</w:t>
            </w:r>
          </w:p>
        </w:tc>
        <w:tc>
          <w:tcPr>
            <w:tcW w:w="7305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tabs>
                <w:tab w:val="center" w:pos="3595"/>
              </w:tabs>
              <w:spacing w:before="0" w:beforeAutospacing="0" w:after="0" w:afterAutospacing="0"/>
              <w:ind w:left="0" w:right="0"/>
              <w:jc w:val="left"/>
              <w:rPr>
                <w:rFonts w:hint="default" w:ascii="Calibri" w:hAnsi="Calibri" w:cs="Calibri"/>
                <w:sz w:val="21"/>
                <w:szCs w:val="21"/>
                <w:lang w:val="en-US"/>
              </w:rPr>
            </w:pPr>
            <w:r>
              <w:rPr>
                <w:rFonts w:hint="default" w:ascii="Calibri" w:hAnsi="Calibri" w:eastAsia="宋体" w:cs="Calibri"/>
                <w:color w:val="000000"/>
                <w:kern w:val="0"/>
                <w:sz w:val="21"/>
                <w:szCs w:val="21"/>
                <w:lang w:val="en-US" w:eastAsia="zh-CN" w:bidi="ar"/>
              </w:rPr>
              <w:t>　</w:t>
            </w:r>
            <w:r>
              <w:rPr>
                <w:rFonts w:hint="default" w:ascii="Calibri" w:hAnsi="Calibri" w:cs="Calibri"/>
                <w:color w:val="000000"/>
                <w:kern w:val="0"/>
                <w:sz w:val="21"/>
                <w:szCs w:val="21"/>
                <w:lang w:val="en-US" w:eastAsia="zh-CN" w:bidi="ar"/>
              </w:rPr>
              <w:tab/>
            </w:r>
            <w:r>
              <w:rPr>
                <w:rFonts w:hint="default" w:ascii="Calibri" w:hAnsi="Calibri" w:cs="Calibri"/>
                <w:color w:val="000000"/>
                <w:kern w:val="0"/>
                <w:sz w:val="21"/>
                <w:szCs w:val="21"/>
                <w:lang w:val="en-US" w:eastAsia="zh-CN" w:bidi="ar"/>
              </w:rPr>
              <w:t>2192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9740" w:type="dxa"/>
            <w:gridSpan w:val="4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9BC2E6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</w:rPr>
            </w:pPr>
            <w:r>
              <w:rPr>
                <w:rFonts w:hint="default" w:ascii="Calibri" w:hAnsi="Calibri" w:eastAsia="宋体" w:cs="Calibri"/>
                <w:color w:val="000000"/>
                <w:kern w:val="0"/>
                <w:sz w:val="20"/>
                <w:szCs w:val="20"/>
                <w:lang w:val="en-US" w:eastAsia="zh-CN" w:bidi="ar"/>
              </w:rPr>
              <w:t>第二十条第（八）项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243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BDD7EE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信息内容</w:t>
            </w:r>
          </w:p>
        </w:tc>
        <w:tc>
          <w:tcPr>
            <w:tcW w:w="7305" w:type="dxa"/>
            <w:gridSpan w:val="3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shd w:val="clear" w:color="auto" w:fill="DDEBF7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Calibri"/>
              </w:rPr>
            </w:pPr>
            <w:r>
              <w:rPr>
                <w:rFonts w:hint="default" w:ascii="Calibri" w:hAnsi="Calibri" w:eastAsia="宋体" w:cs="Calibri"/>
                <w:color w:val="000000"/>
                <w:kern w:val="0"/>
                <w:sz w:val="20"/>
                <w:szCs w:val="20"/>
                <w:lang w:val="en-US" w:eastAsia="zh-CN" w:bidi="ar"/>
              </w:rPr>
              <w:t>本年收费金额（单位：万元）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243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BDD7EE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行政事业性收费</w:t>
            </w:r>
          </w:p>
        </w:tc>
        <w:tc>
          <w:tcPr>
            <w:tcW w:w="7305" w:type="dxa"/>
            <w:gridSpan w:val="3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Calibri" w:hAnsi="Calibri" w:eastAsia="宋体" w:cs="Calibri"/>
                <w:sz w:val="24"/>
                <w:szCs w:val="24"/>
                <w:lang w:val="en-US" w:eastAsia="zh-CN"/>
              </w:rPr>
            </w:pPr>
            <w:r>
              <w:rPr>
                <w:rFonts w:hint="default" w:ascii="Calibri" w:hAnsi="Calibri" w:cs="Calibri"/>
                <w:sz w:val="21"/>
                <w:szCs w:val="21"/>
                <w:lang w:val="en-US" w:eastAsia="zh-CN"/>
              </w:rPr>
              <w:t>48.321</w:t>
            </w:r>
          </w:p>
        </w:tc>
      </w:tr>
    </w:tbl>
    <w:p>
      <w:pPr>
        <w:pStyle w:val="2"/>
        <w:numPr>
          <w:ilvl w:val="0"/>
          <w:numId w:val="0"/>
        </w:numPr>
        <w:rPr>
          <w:rFonts w:hint="eastAsia"/>
        </w:rPr>
      </w:pPr>
    </w:p>
    <w:p>
      <w:pPr>
        <w:pStyle w:val="2"/>
        <w:numPr>
          <w:ilvl w:val="0"/>
          <w:numId w:val="0"/>
        </w:numPr>
        <w:rPr>
          <w:rFonts w:hint="eastAsia"/>
        </w:rPr>
      </w:pPr>
    </w:p>
    <w:p>
      <w:pPr>
        <w:numPr>
          <w:ilvl w:val="0"/>
          <w:numId w:val="1"/>
        </w:numPr>
        <w:spacing w:line="560" w:lineRule="exact"/>
        <w:ind w:left="0" w:leftChars="0" w:firstLine="640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收到和处理政府信息公开申请情况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420"/>
        <w:jc w:val="both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</w:rPr>
      </w:pPr>
    </w:p>
    <w:tbl>
      <w:tblPr>
        <w:tblStyle w:val="4"/>
        <w:tblW w:w="9748" w:type="dxa"/>
        <w:jc w:val="center"/>
        <w:tblBorders>
          <w:top w:val="none" w:color="auto" w:sz="6" w:space="0"/>
          <w:left w:val="none" w:color="auto" w:sz="6" w:space="0"/>
          <w:bottom w:val="none" w:color="auto" w:sz="6" w:space="0"/>
          <w:right w:val="none" w:color="auto" w:sz="6" w:space="0"/>
          <w:insideH w:val="outset" w:color="auto" w:sz="6" w:space="0"/>
          <w:insideV w:val="outset" w:color="auto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68"/>
        <w:gridCol w:w="943"/>
        <w:gridCol w:w="3220"/>
        <w:gridCol w:w="688"/>
        <w:gridCol w:w="688"/>
        <w:gridCol w:w="688"/>
        <w:gridCol w:w="688"/>
        <w:gridCol w:w="688"/>
        <w:gridCol w:w="688"/>
        <w:gridCol w:w="689"/>
      </w:tblGrid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931" w:type="dxa"/>
            <w:gridSpan w:val="3"/>
            <w:vMerge w:val="restart"/>
            <w:tcBorders>
              <w:top w:val="single" w:color="auto" w:sz="8" w:space="0"/>
              <w:left w:val="single" w:color="auto" w:sz="8" w:space="0"/>
              <w:bottom w:val="outset" w:color="auto" w:sz="8" w:space="0"/>
              <w:right w:val="single" w:color="auto" w:sz="8" w:space="0"/>
            </w:tcBorders>
            <w:shd w:val="clear" w:color="auto" w:fill="9BC2E6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ascii="楷体" w:hAnsi="楷体" w:eastAsia="楷体" w:cs="楷体"/>
                <w:kern w:val="0"/>
                <w:sz w:val="20"/>
                <w:szCs w:val="20"/>
                <w:lang w:val="en-US" w:eastAsia="zh-CN" w:bidi="ar"/>
              </w:rPr>
              <w:t>（本列数据的勾稽关系为：第一项加第二项之和，等于第三项加第四项之和）</w:t>
            </w:r>
          </w:p>
        </w:tc>
        <w:tc>
          <w:tcPr>
            <w:tcW w:w="4817" w:type="dxa"/>
            <w:gridSpan w:val="7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9BC2E6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申请人情况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931" w:type="dxa"/>
            <w:gridSpan w:val="3"/>
            <w:vMerge w:val="continue"/>
            <w:tcBorders>
              <w:top w:val="single" w:color="auto" w:sz="8" w:space="0"/>
              <w:left w:val="single" w:color="auto" w:sz="8" w:space="0"/>
              <w:bottom w:val="outset" w:color="auto" w:sz="8" w:space="0"/>
              <w:right w:val="single" w:color="auto" w:sz="8" w:space="0"/>
            </w:tcBorders>
            <w:shd w:val="clear" w:color="auto" w:fill="9BC2E6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688" w:type="dxa"/>
            <w:vMerge w:val="restar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9BC2E6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自然人</w:t>
            </w:r>
          </w:p>
        </w:tc>
        <w:tc>
          <w:tcPr>
            <w:tcW w:w="3440" w:type="dxa"/>
            <w:gridSpan w:val="5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9BC2E6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法人或其他组织</w:t>
            </w:r>
          </w:p>
        </w:tc>
        <w:tc>
          <w:tcPr>
            <w:tcW w:w="689" w:type="dxa"/>
            <w:vMerge w:val="restart"/>
            <w:tcBorders>
              <w:top w:val="single" w:color="auto" w:sz="8" w:space="0"/>
              <w:left w:val="nil"/>
              <w:bottom w:val="outset" w:color="auto" w:sz="8" w:space="0"/>
              <w:right w:val="single" w:color="auto" w:sz="8" w:space="0"/>
            </w:tcBorders>
            <w:shd w:val="clear" w:color="auto" w:fill="9BC2E6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总计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931" w:type="dxa"/>
            <w:gridSpan w:val="3"/>
            <w:vMerge w:val="continue"/>
            <w:tcBorders>
              <w:top w:val="single" w:color="auto" w:sz="8" w:space="0"/>
              <w:left w:val="single" w:color="auto" w:sz="8" w:space="0"/>
              <w:bottom w:val="outset" w:color="auto" w:sz="8" w:space="0"/>
              <w:right w:val="single" w:color="auto" w:sz="8" w:space="0"/>
            </w:tcBorders>
            <w:shd w:val="clear" w:color="auto" w:fill="9BC2E6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688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9BC2E6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9BC2E6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商业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企业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9BC2E6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科研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机构</w:t>
            </w:r>
          </w:p>
        </w:tc>
        <w:tc>
          <w:tcPr>
            <w:tcW w:w="688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9BC2E6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社会公益组织</w:t>
            </w:r>
          </w:p>
        </w:tc>
        <w:tc>
          <w:tcPr>
            <w:tcW w:w="688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9BC2E6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法律服务机构</w:t>
            </w:r>
          </w:p>
        </w:tc>
        <w:tc>
          <w:tcPr>
            <w:tcW w:w="688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9BC2E6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其他</w:t>
            </w:r>
          </w:p>
        </w:tc>
        <w:tc>
          <w:tcPr>
            <w:tcW w:w="689" w:type="dxa"/>
            <w:vMerge w:val="continue"/>
            <w:tcBorders>
              <w:top w:val="single" w:color="auto" w:sz="8" w:space="0"/>
              <w:left w:val="nil"/>
              <w:bottom w:val="outset" w:color="auto" w:sz="8" w:space="0"/>
              <w:right w:val="single" w:color="auto" w:sz="8" w:space="0"/>
            </w:tcBorders>
            <w:shd w:val="clear" w:color="auto" w:fill="9BC2E6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931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BDD7EE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一、本年新收政府信息公开申请数量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7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/>
                <w:szCs w:val="21"/>
                <w:lang w:val="en-US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7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931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BDD7EE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二、上年结转政府信息公开申请数量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68" w:type="dxa"/>
            <w:vMerge w:val="restart"/>
            <w:tcBorders>
              <w:top w:val="nil"/>
              <w:left w:val="single" w:color="auto" w:sz="8" w:space="0"/>
              <w:bottom w:val="outset" w:color="auto" w:sz="8" w:space="0"/>
              <w:right w:val="single" w:color="auto" w:sz="8" w:space="0"/>
            </w:tcBorders>
            <w:shd w:val="clear" w:color="auto" w:fill="BDD7EE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三、本年度办理结果</w:t>
            </w:r>
          </w:p>
        </w:tc>
        <w:tc>
          <w:tcPr>
            <w:tcW w:w="4163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DDEBF7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（一）予以公开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9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68" w:type="dxa"/>
            <w:vMerge w:val="continue"/>
            <w:tcBorders>
              <w:top w:val="nil"/>
              <w:left w:val="single" w:color="auto" w:sz="8" w:space="0"/>
              <w:bottom w:val="outset" w:color="auto" w:sz="8" w:space="0"/>
              <w:right w:val="single" w:color="auto" w:sz="8" w:space="0"/>
            </w:tcBorders>
            <w:shd w:val="clear" w:color="auto" w:fill="BDD7EE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4163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DDEBF7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（二）部分公开</w:t>
            </w:r>
            <w:r>
              <w:rPr>
                <w:rFonts w:hint="default" w:ascii="楷体" w:hAnsi="楷体" w:eastAsia="楷体" w:cs="楷体"/>
                <w:kern w:val="0"/>
                <w:sz w:val="20"/>
                <w:szCs w:val="20"/>
                <w:lang w:val="en-US" w:eastAsia="zh-CN" w:bidi="ar"/>
              </w:rPr>
              <w:t>（区分处理的，只计这一情形，不计其他情形）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2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80" w:lineRule="auto"/>
              <w:ind w:right="0"/>
              <w:jc w:val="center"/>
              <w:textAlignment w:val="auto"/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2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68" w:type="dxa"/>
            <w:vMerge w:val="continue"/>
            <w:tcBorders>
              <w:top w:val="nil"/>
              <w:left w:val="single" w:color="auto" w:sz="8" w:space="0"/>
              <w:bottom w:val="outset" w:color="auto" w:sz="8" w:space="0"/>
              <w:right w:val="single" w:color="auto" w:sz="8" w:space="0"/>
            </w:tcBorders>
            <w:shd w:val="clear" w:color="auto" w:fill="BDD7EE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943" w:type="dxa"/>
            <w:vMerge w:val="restart"/>
            <w:tcBorders>
              <w:top w:val="nil"/>
              <w:left w:val="nil"/>
              <w:bottom w:val="outset" w:color="auto" w:sz="8" w:space="0"/>
              <w:right w:val="single" w:color="auto" w:sz="8" w:space="0"/>
            </w:tcBorders>
            <w:shd w:val="clear" w:color="auto" w:fill="DDEBF7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（三）不予公开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DDEBF7"/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1.属于国家秘密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9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68" w:type="dxa"/>
            <w:vMerge w:val="continue"/>
            <w:tcBorders>
              <w:top w:val="nil"/>
              <w:left w:val="single" w:color="auto" w:sz="8" w:space="0"/>
              <w:bottom w:val="outset" w:color="auto" w:sz="8" w:space="0"/>
              <w:right w:val="single" w:color="auto" w:sz="8" w:space="0"/>
            </w:tcBorders>
            <w:shd w:val="clear" w:color="auto" w:fill="BDD7EE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943" w:type="dxa"/>
            <w:vMerge w:val="continue"/>
            <w:tcBorders>
              <w:top w:val="nil"/>
              <w:left w:val="nil"/>
              <w:bottom w:val="outset" w:color="auto" w:sz="8" w:space="0"/>
              <w:right w:val="single" w:color="auto" w:sz="8" w:space="0"/>
            </w:tcBorders>
            <w:shd w:val="clear" w:color="auto" w:fill="DDEBF7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DDEBF7"/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2.其他法律行政法规禁止公开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68" w:type="dxa"/>
            <w:vMerge w:val="continue"/>
            <w:tcBorders>
              <w:top w:val="nil"/>
              <w:left w:val="single" w:color="auto" w:sz="8" w:space="0"/>
              <w:bottom w:val="outset" w:color="auto" w:sz="8" w:space="0"/>
              <w:right w:val="single" w:color="auto" w:sz="8" w:space="0"/>
            </w:tcBorders>
            <w:shd w:val="clear" w:color="auto" w:fill="BDD7EE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943" w:type="dxa"/>
            <w:vMerge w:val="continue"/>
            <w:tcBorders>
              <w:top w:val="nil"/>
              <w:left w:val="nil"/>
              <w:bottom w:val="outset" w:color="auto" w:sz="8" w:space="0"/>
              <w:right w:val="single" w:color="auto" w:sz="8" w:space="0"/>
            </w:tcBorders>
            <w:shd w:val="clear" w:color="auto" w:fill="DDEBF7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DDEBF7"/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3.危及“三安全一稳定”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68" w:type="dxa"/>
            <w:vMerge w:val="continue"/>
            <w:tcBorders>
              <w:top w:val="nil"/>
              <w:left w:val="single" w:color="auto" w:sz="8" w:space="0"/>
              <w:bottom w:val="outset" w:color="auto" w:sz="8" w:space="0"/>
              <w:right w:val="single" w:color="auto" w:sz="8" w:space="0"/>
            </w:tcBorders>
            <w:shd w:val="clear" w:color="auto" w:fill="BDD7EE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943" w:type="dxa"/>
            <w:vMerge w:val="continue"/>
            <w:tcBorders>
              <w:top w:val="nil"/>
              <w:left w:val="nil"/>
              <w:bottom w:val="outset" w:color="auto" w:sz="8" w:space="0"/>
              <w:right w:val="single" w:color="auto" w:sz="8" w:space="0"/>
            </w:tcBorders>
            <w:shd w:val="clear" w:color="auto" w:fill="DDEBF7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DDEBF7"/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4.保护第三方合法权益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68" w:type="dxa"/>
            <w:vMerge w:val="continue"/>
            <w:tcBorders>
              <w:top w:val="nil"/>
              <w:left w:val="single" w:color="auto" w:sz="8" w:space="0"/>
              <w:bottom w:val="outset" w:color="auto" w:sz="8" w:space="0"/>
              <w:right w:val="single" w:color="auto" w:sz="8" w:space="0"/>
            </w:tcBorders>
            <w:shd w:val="clear" w:color="auto" w:fill="BDD7EE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943" w:type="dxa"/>
            <w:vMerge w:val="continue"/>
            <w:tcBorders>
              <w:top w:val="nil"/>
              <w:left w:val="nil"/>
              <w:bottom w:val="outset" w:color="auto" w:sz="8" w:space="0"/>
              <w:right w:val="single" w:color="auto" w:sz="8" w:space="0"/>
            </w:tcBorders>
            <w:shd w:val="clear" w:color="auto" w:fill="DDEBF7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DDEBF7"/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5.属于三类内部事务信息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  <w:jc w:val="center"/>
        </w:trPr>
        <w:tc>
          <w:tcPr>
            <w:tcW w:w="768" w:type="dxa"/>
            <w:vMerge w:val="continue"/>
            <w:tcBorders>
              <w:top w:val="nil"/>
              <w:left w:val="single" w:color="auto" w:sz="8" w:space="0"/>
              <w:bottom w:val="outset" w:color="auto" w:sz="8" w:space="0"/>
              <w:right w:val="single" w:color="auto" w:sz="8" w:space="0"/>
            </w:tcBorders>
            <w:shd w:val="clear" w:color="auto" w:fill="BDD7EE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943" w:type="dxa"/>
            <w:vMerge w:val="continue"/>
            <w:tcBorders>
              <w:top w:val="nil"/>
              <w:left w:val="nil"/>
              <w:bottom w:val="outset" w:color="auto" w:sz="8" w:space="0"/>
              <w:right w:val="single" w:color="auto" w:sz="8" w:space="0"/>
            </w:tcBorders>
            <w:shd w:val="clear" w:color="auto" w:fill="DDEBF7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DDEBF7"/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6.属于四类过程性信息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68" w:type="dxa"/>
            <w:vMerge w:val="continue"/>
            <w:tcBorders>
              <w:top w:val="nil"/>
              <w:left w:val="single" w:color="auto" w:sz="8" w:space="0"/>
              <w:bottom w:val="outset" w:color="auto" w:sz="8" w:space="0"/>
              <w:right w:val="single" w:color="auto" w:sz="8" w:space="0"/>
            </w:tcBorders>
            <w:shd w:val="clear" w:color="auto" w:fill="BDD7EE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943" w:type="dxa"/>
            <w:vMerge w:val="continue"/>
            <w:tcBorders>
              <w:top w:val="nil"/>
              <w:left w:val="nil"/>
              <w:bottom w:val="outset" w:color="auto" w:sz="8" w:space="0"/>
              <w:right w:val="single" w:color="auto" w:sz="8" w:space="0"/>
            </w:tcBorders>
            <w:shd w:val="clear" w:color="auto" w:fill="DDEBF7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DDEBF7"/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7.属于行政执法案卷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68" w:type="dxa"/>
            <w:vMerge w:val="continue"/>
            <w:tcBorders>
              <w:top w:val="nil"/>
              <w:left w:val="single" w:color="auto" w:sz="8" w:space="0"/>
              <w:bottom w:val="outset" w:color="auto" w:sz="8" w:space="0"/>
              <w:right w:val="single" w:color="auto" w:sz="8" w:space="0"/>
            </w:tcBorders>
            <w:shd w:val="clear" w:color="auto" w:fill="BDD7EE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943" w:type="dxa"/>
            <w:vMerge w:val="continue"/>
            <w:tcBorders>
              <w:top w:val="nil"/>
              <w:left w:val="nil"/>
              <w:bottom w:val="outset" w:color="auto" w:sz="8" w:space="0"/>
              <w:right w:val="single" w:color="auto" w:sz="8" w:space="0"/>
            </w:tcBorders>
            <w:shd w:val="clear" w:color="auto" w:fill="DDEBF7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DDEBF7"/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8.属于行政查询事项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68" w:type="dxa"/>
            <w:vMerge w:val="continue"/>
            <w:tcBorders>
              <w:top w:val="nil"/>
              <w:left w:val="single" w:color="auto" w:sz="8" w:space="0"/>
              <w:bottom w:val="outset" w:color="auto" w:sz="8" w:space="0"/>
              <w:right w:val="single" w:color="auto" w:sz="8" w:space="0"/>
            </w:tcBorders>
            <w:shd w:val="clear" w:color="auto" w:fill="BDD7EE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943" w:type="dxa"/>
            <w:vMerge w:val="restart"/>
            <w:tcBorders>
              <w:top w:val="nil"/>
              <w:left w:val="nil"/>
              <w:bottom w:val="outset" w:color="auto" w:sz="8" w:space="0"/>
              <w:right w:val="single" w:color="auto" w:sz="8" w:space="0"/>
            </w:tcBorders>
            <w:shd w:val="clear" w:color="auto" w:fill="DDEBF7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（四）无法提供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DDEBF7"/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1.本机关不掌握相关政府信息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4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4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68" w:type="dxa"/>
            <w:vMerge w:val="continue"/>
            <w:tcBorders>
              <w:top w:val="nil"/>
              <w:left w:val="single" w:color="auto" w:sz="8" w:space="0"/>
              <w:bottom w:val="outset" w:color="auto" w:sz="8" w:space="0"/>
              <w:right w:val="single" w:color="auto" w:sz="8" w:space="0"/>
            </w:tcBorders>
            <w:shd w:val="clear" w:color="auto" w:fill="BDD7EE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943" w:type="dxa"/>
            <w:vMerge w:val="continue"/>
            <w:tcBorders>
              <w:top w:val="nil"/>
              <w:left w:val="nil"/>
              <w:bottom w:val="outset" w:color="auto" w:sz="8" w:space="0"/>
              <w:right w:val="single" w:color="auto" w:sz="8" w:space="0"/>
            </w:tcBorders>
            <w:shd w:val="clear" w:color="auto" w:fill="DDEBF7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DDEBF7"/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2.没有现成信息需要另行制作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68" w:type="dxa"/>
            <w:vMerge w:val="continue"/>
            <w:tcBorders>
              <w:top w:val="nil"/>
              <w:left w:val="single" w:color="auto" w:sz="8" w:space="0"/>
              <w:bottom w:val="outset" w:color="auto" w:sz="8" w:space="0"/>
              <w:right w:val="single" w:color="auto" w:sz="8" w:space="0"/>
            </w:tcBorders>
            <w:shd w:val="clear" w:color="auto" w:fill="BDD7EE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943" w:type="dxa"/>
            <w:vMerge w:val="continue"/>
            <w:tcBorders>
              <w:top w:val="nil"/>
              <w:left w:val="nil"/>
              <w:bottom w:val="outset" w:color="auto" w:sz="8" w:space="0"/>
              <w:right w:val="single" w:color="auto" w:sz="8" w:space="0"/>
            </w:tcBorders>
            <w:shd w:val="clear" w:color="auto" w:fill="DDEBF7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DDEBF7"/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3.补正后申请内容仍不明确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68" w:type="dxa"/>
            <w:vMerge w:val="continue"/>
            <w:tcBorders>
              <w:top w:val="nil"/>
              <w:left w:val="single" w:color="auto" w:sz="8" w:space="0"/>
              <w:bottom w:val="outset" w:color="auto" w:sz="8" w:space="0"/>
              <w:right w:val="single" w:color="auto" w:sz="8" w:space="0"/>
            </w:tcBorders>
            <w:shd w:val="clear" w:color="auto" w:fill="BDD7EE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943" w:type="dxa"/>
            <w:vMerge w:val="restart"/>
            <w:tcBorders>
              <w:top w:val="nil"/>
              <w:left w:val="nil"/>
              <w:bottom w:val="outset" w:color="auto" w:sz="8" w:space="0"/>
              <w:right w:val="single" w:color="auto" w:sz="8" w:space="0"/>
            </w:tcBorders>
            <w:shd w:val="clear" w:color="auto" w:fill="DDEBF7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（五）不予处理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DDEBF7"/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1.信访举报投诉类申请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68" w:type="dxa"/>
            <w:vMerge w:val="continue"/>
            <w:tcBorders>
              <w:top w:val="nil"/>
              <w:left w:val="single" w:color="auto" w:sz="8" w:space="0"/>
              <w:bottom w:val="outset" w:color="auto" w:sz="8" w:space="0"/>
              <w:right w:val="single" w:color="auto" w:sz="8" w:space="0"/>
            </w:tcBorders>
            <w:shd w:val="clear" w:color="auto" w:fill="BDD7EE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943" w:type="dxa"/>
            <w:vMerge w:val="continue"/>
            <w:tcBorders>
              <w:top w:val="nil"/>
              <w:left w:val="nil"/>
              <w:bottom w:val="outset" w:color="auto" w:sz="8" w:space="0"/>
              <w:right w:val="single" w:color="auto" w:sz="8" w:space="0"/>
            </w:tcBorders>
            <w:shd w:val="clear" w:color="auto" w:fill="DDEBF7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DDEBF7"/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2.重复申请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68" w:type="dxa"/>
            <w:vMerge w:val="continue"/>
            <w:tcBorders>
              <w:top w:val="nil"/>
              <w:left w:val="single" w:color="auto" w:sz="8" w:space="0"/>
              <w:bottom w:val="outset" w:color="auto" w:sz="8" w:space="0"/>
              <w:right w:val="single" w:color="auto" w:sz="8" w:space="0"/>
            </w:tcBorders>
            <w:shd w:val="clear" w:color="auto" w:fill="BDD7EE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943" w:type="dxa"/>
            <w:vMerge w:val="continue"/>
            <w:tcBorders>
              <w:top w:val="nil"/>
              <w:left w:val="nil"/>
              <w:bottom w:val="outset" w:color="auto" w:sz="8" w:space="0"/>
              <w:right w:val="single" w:color="auto" w:sz="8" w:space="0"/>
            </w:tcBorders>
            <w:shd w:val="clear" w:color="auto" w:fill="DDEBF7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DDEBF7"/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3.要求提供公开出版物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68" w:type="dxa"/>
            <w:vMerge w:val="continue"/>
            <w:tcBorders>
              <w:top w:val="nil"/>
              <w:left w:val="single" w:color="auto" w:sz="8" w:space="0"/>
              <w:bottom w:val="outset" w:color="auto" w:sz="8" w:space="0"/>
              <w:right w:val="single" w:color="auto" w:sz="8" w:space="0"/>
            </w:tcBorders>
            <w:shd w:val="clear" w:color="auto" w:fill="BDD7EE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943" w:type="dxa"/>
            <w:vMerge w:val="continue"/>
            <w:tcBorders>
              <w:top w:val="nil"/>
              <w:left w:val="nil"/>
              <w:bottom w:val="outset" w:color="auto" w:sz="8" w:space="0"/>
              <w:right w:val="single" w:color="auto" w:sz="8" w:space="0"/>
            </w:tcBorders>
            <w:shd w:val="clear" w:color="auto" w:fill="DDEBF7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DDEBF7"/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4.无正当理由大量反复申请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9" w:hRule="atLeast"/>
          <w:jc w:val="center"/>
        </w:trPr>
        <w:tc>
          <w:tcPr>
            <w:tcW w:w="768" w:type="dxa"/>
            <w:vMerge w:val="continue"/>
            <w:tcBorders>
              <w:top w:val="nil"/>
              <w:left w:val="single" w:color="auto" w:sz="8" w:space="0"/>
              <w:bottom w:val="outset" w:color="auto" w:sz="8" w:space="0"/>
              <w:right w:val="single" w:color="auto" w:sz="8" w:space="0"/>
            </w:tcBorders>
            <w:shd w:val="clear" w:color="auto" w:fill="BDD7EE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943" w:type="dxa"/>
            <w:vMerge w:val="continue"/>
            <w:tcBorders>
              <w:top w:val="nil"/>
              <w:left w:val="nil"/>
              <w:bottom w:val="outset" w:color="auto" w:sz="8" w:space="0"/>
              <w:right w:val="single" w:color="auto" w:sz="8" w:space="0"/>
            </w:tcBorders>
            <w:shd w:val="clear" w:color="auto" w:fill="DDEBF7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outset" w:color="auto" w:sz="8" w:space="0"/>
              <w:right w:val="single" w:color="auto" w:sz="8" w:space="0"/>
            </w:tcBorders>
            <w:shd w:val="clear" w:color="auto" w:fill="DDEBF7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both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5.要求行政机关确认或重新出具已获取信息</w:t>
            </w:r>
          </w:p>
        </w:tc>
        <w:tc>
          <w:tcPr>
            <w:tcW w:w="688" w:type="dxa"/>
            <w:tcBorders>
              <w:top w:val="nil"/>
              <w:left w:val="nil"/>
              <w:bottom w:val="outset" w:color="auto" w:sz="8" w:space="0"/>
              <w:right w:val="single" w:color="auto" w:sz="8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120" w:lineRule="auto"/>
              <w:ind w:left="0" w:right="0"/>
              <w:jc w:val="center"/>
              <w:textAlignment w:val="auto"/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120" w:lineRule="auto"/>
              <w:ind w:left="0" w:right="0"/>
              <w:jc w:val="center"/>
              <w:textAlignment w:val="auto"/>
              <w:rPr>
                <w:rFonts w:hint="default"/>
                <w:lang w:val="en-US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outset" w:color="auto" w:sz="8" w:space="0"/>
              <w:right w:val="single" w:color="auto" w:sz="8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120" w:lineRule="auto"/>
              <w:ind w:left="0" w:right="0"/>
              <w:jc w:val="center"/>
              <w:textAlignment w:val="auto"/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120" w:lineRule="auto"/>
              <w:ind w:left="0" w:right="0"/>
              <w:jc w:val="center"/>
              <w:textAlignment w:val="auto"/>
              <w:rPr>
                <w:rFonts w:hint="default"/>
                <w:lang w:val="en-US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outset" w:color="auto" w:sz="8" w:space="0"/>
              <w:right w:val="single" w:color="auto" w:sz="8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120" w:lineRule="auto"/>
              <w:ind w:left="0" w:right="0"/>
              <w:jc w:val="center"/>
              <w:textAlignment w:val="auto"/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120" w:lineRule="auto"/>
              <w:ind w:left="0" w:right="0"/>
              <w:jc w:val="center"/>
              <w:textAlignment w:val="auto"/>
              <w:rPr>
                <w:rFonts w:hint="default"/>
                <w:lang w:val="en-US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outset" w:color="auto" w:sz="8" w:space="0"/>
              <w:right w:val="single" w:color="auto" w:sz="8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120" w:lineRule="auto"/>
              <w:ind w:left="0" w:right="0"/>
              <w:jc w:val="center"/>
              <w:textAlignment w:val="auto"/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120" w:lineRule="auto"/>
              <w:ind w:left="0" w:right="0"/>
              <w:jc w:val="center"/>
              <w:textAlignment w:val="auto"/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outset" w:color="auto" w:sz="8" w:space="0"/>
              <w:right w:val="single" w:color="auto" w:sz="8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120" w:lineRule="auto"/>
              <w:ind w:left="0" w:right="0"/>
              <w:jc w:val="center"/>
              <w:textAlignment w:val="auto"/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120" w:lineRule="auto"/>
              <w:ind w:left="0" w:right="0"/>
              <w:jc w:val="center"/>
              <w:textAlignment w:val="auto"/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outset" w:color="auto" w:sz="8" w:space="0"/>
              <w:right w:val="single" w:color="auto" w:sz="8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120" w:lineRule="auto"/>
              <w:ind w:left="0" w:right="0"/>
              <w:jc w:val="center"/>
              <w:textAlignment w:val="auto"/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120" w:lineRule="auto"/>
              <w:ind w:left="0" w:right="0"/>
              <w:jc w:val="center"/>
              <w:textAlignment w:val="auto"/>
              <w:rPr>
                <w:rFonts w:hint="default"/>
                <w:lang w:val="en-US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9" w:type="dxa"/>
            <w:tcBorders>
              <w:top w:val="nil"/>
              <w:left w:val="nil"/>
              <w:bottom w:val="outset" w:color="auto" w:sz="8" w:space="0"/>
              <w:right w:val="single" w:color="auto" w:sz="8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120" w:lineRule="auto"/>
              <w:ind w:left="0" w:right="0"/>
              <w:jc w:val="center"/>
              <w:textAlignment w:val="auto"/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120" w:lineRule="auto"/>
              <w:ind w:left="0" w:right="0"/>
              <w:jc w:val="center"/>
              <w:textAlignment w:val="auto"/>
              <w:rPr>
                <w:rFonts w:hint="default"/>
                <w:lang w:val="en-US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68" w:type="dxa"/>
            <w:vMerge w:val="continue"/>
            <w:tcBorders>
              <w:top w:val="nil"/>
              <w:left w:val="single" w:color="auto" w:sz="8" w:space="0"/>
              <w:bottom w:val="outset" w:color="auto" w:sz="8" w:space="0"/>
              <w:right w:val="single" w:color="auto" w:sz="8" w:space="0"/>
            </w:tcBorders>
            <w:shd w:val="clear" w:color="auto" w:fill="BDD7EE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943" w:type="dxa"/>
            <w:vMerge w:val="restart"/>
            <w:tcBorders>
              <w:top w:val="outset" w:color="auto" w:sz="8" w:space="0"/>
              <w:left w:val="nil"/>
              <w:bottom w:val="outset" w:color="auto" w:sz="8" w:space="0"/>
              <w:right w:val="single" w:color="auto" w:sz="8" w:space="0"/>
            </w:tcBorders>
            <w:shd w:val="clear" w:color="auto" w:fill="DDEBF7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（六）其他处理</w:t>
            </w:r>
          </w:p>
        </w:tc>
        <w:tc>
          <w:tcPr>
            <w:tcW w:w="32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DDEBF7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both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1.申请人无正当理由逾期不补正、行政机关不再处理其政府信息公开申请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68" w:type="dxa"/>
            <w:vMerge w:val="continue"/>
            <w:tcBorders>
              <w:top w:val="nil"/>
              <w:left w:val="single" w:color="auto" w:sz="8" w:space="0"/>
              <w:bottom w:val="outset" w:color="auto" w:sz="8" w:space="0"/>
              <w:right w:val="single" w:color="auto" w:sz="8" w:space="0"/>
            </w:tcBorders>
            <w:shd w:val="clear" w:color="auto" w:fill="BDD7EE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943" w:type="dxa"/>
            <w:vMerge w:val="continue"/>
            <w:tcBorders>
              <w:top w:val="outset" w:color="auto" w:sz="8" w:space="0"/>
              <w:left w:val="nil"/>
              <w:bottom w:val="outset" w:color="auto" w:sz="8" w:space="0"/>
              <w:right w:val="single" w:color="auto" w:sz="8" w:space="0"/>
            </w:tcBorders>
            <w:shd w:val="clear" w:color="auto" w:fill="DDEBF7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DDEBF7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both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2.申请人逾期未按收费通知要求缴纳费用、行政机关不再处理其政府信息公开申请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68" w:type="dxa"/>
            <w:vMerge w:val="continue"/>
            <w:tcBorders>
              <w:top w:val="nil"/>
              <w:left w:val="single" w:color="auto" w:sz="8" w:space="0"/>
              <w:bottom w:val="outset" w:color="auto" w:sz="8" w:space="0"/>
              <w:right w:val="single" w:color="auto" w:sz="8" w:space="0"/>
            </w:tcBorders>
            <w:shd w:val="clear" w:color="auto" w:fill="BDD7EE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943" w:type="dxa"/>
            <w:vMerge w:val="continue"/>
            <w:tcBorders>
              <w:top w:val="outset" w:color="auto" w:sz="8" w:space="0"/>
              <w:left w:val="nil"/>
              <w:bottom w:val="outset" w:color="auto" w:sz="8" w:space="0"/>
              <w:right w:val="single" w:color="auto" w:sz="8" w:space="0"/>
            </w:tcBorders>
            <w:shd w:val="clear" w:color="auto" w:fill="DDEBF7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DDEBF7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3.其他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68" w:type="dxa"/>
            <w:vMerge w:val="continue"/>
            <w:tcBorders>
              <w:top w:val="nil"/>
              <w:left w:val="single" w:color="auto" w:sz="8" w:space="0"/>
              <w:bottom w:val="outset" w:color="auto" w:sz="8" w:space="0"/>
              <w:right w:val="single" w:color="auto" w:sz="8" w:space="0"/>
            </w:tcBorders>
            <w:shd w:val="clear" w:color="auto" w:fill="BDD7EE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4163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DDEBF7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（七）总计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7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7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931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BDD7EE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四、结转下年度继续办理</w:t>
            </w:r>
          </w:p>
        </w:tc>
        <w:tc>
          <w:tcPr>
            <w:tcW w:w="688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9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</w:tr>
    </w:tbl>
    <w:p>
      <w:pPr>
        <w:pStyle w:val="2"/>
        <w:numPr>
          <w:ilvl w:val="0"/>
          <w:numId w:val="0"/>
        </w:numPr>
        <w:ind w:leftChars="200"/>
        <w:rPr>
          <w:rFonts w:hint="eastAsia"/>
        </w:rPr>
      </w:pPr>
    </w:p>
    <w:p>
      <w:pPr>
        <w:pStyle w:val="2"/>
        <w:numPr>
          <w:ilvl w:val="0"/>
          <w:numId w:val="0"/>
        </w:numPr>
        <w:ind w:leftChars="200"/>
        <w:rPr>
          <w:rFonts w:hint="eastAsia"/>
        </w:rPr>
      </w:pPr>
    </w:p>
    <w:p>
      <w:pPr>
        <w:spacing w:line="560" w:lineRule="exact"/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四、政府信息公开行政复议、行政诉讼情况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center"/>
      </w:pPr>
    </w:p>
    <w:tbl>
      <w:tblPr>
        <w:tblStyle w:val="4"/>
        <w:tblW w:w="9748" w:type="dxa"/>
        <w:jc w:val="center"/>
        <w:tblBorders>
          <w:top w:val="none" w:color="auto" w:sz="6" w:space="0"/>
          <w:left w:val="none" w:color="auto" w:sz="6" w:space="0"/>
          <w:bottom w:val="none" w:color="auto" w:sz="6" w:space="0"/>
          <w:right w:val="none" w:color="auto" w:sz="6" w:space="0"/>
          <w:insideH w:val="outset" w:color="auto" w:sz="6" w:space="0"/>
          <w:insideV w:val="outset" w:color="auto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49"/>
        <w:gridCol w:w="649"/>
        <w:gridCol w:w="649"/>
        <w:gridCol w:w="649"/>
        <w:gridCol w:w="649"/>
        <w:gridCol w:w="649"/>
        <w:gridCol w:w="649"/>
        <w:gridCol w:w="650"/>
        <w:gridCol w:w="650"/>
        <w:gridCol w:w="650"/>
        <w:gridCol w:w="651"/>
        <w:gridCol w:w="651"/>
        <w:gridCol w:w="651"/>
        <w:gridCol w:w="651"/>
        <w:gridCol w:w="651"/>
      </w:tblGrid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7" w:hRule="atLeast"/>
          <w:jc w:val="center"/>
        </w:trPr>
        <w:tc>
          <w:tcPr>
            <w:tcW w:w="3245" w:type="dxa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BDD7EE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行政复议</w:t>
            </w:r>
          </w:p>
        </w:tc>
        <w:tc>
          <w:tcPr>
            <w:tcW w:w="6503" w:type="dxa"/>
            <w:gridSpan w:val="10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BDD7EE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行政诉讼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2" w:hRule="atLeast"/>
          <w:jc w:val="center"/>
        </w:trPr>
        <w:tc>
          <w:tcPr>
            <w:tcW w:w="649" w:type="dxa"/>
            <w:vMerge w:val="restar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结果维持</w:t>
            </w:r>
          </w:p>
        </w:tc>
        <w:tc>
          <w:tcPr>
            <w:tcW w:w="649" w:type="dxa"/>
            <w:vMerge w:val="restar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结果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纠正</w:t>
            </w:r>
          </w:p>
        </w:tc>
        <w:tc>
          <w:tcPr>
            <w:tcW w:w="649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其他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结果</w:t>
            </w:r>
          </w:p>
        </w:tc>
        <w:tc>
          <w:tcPr>
            <w:tcW w:w="649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尚未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审结</w:t>
            </w:r>
          </w:p>
        </w:tc>
        <w:tc>
          <w:tcPr>
            <w:tcW w:w="649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总计</w:t>
            </w:r>
          </w:p>
        </w:tc>
        <w:tc>
          <w:tcPr>
            <w:tcW w:w="3248" w:type="dxa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DDEBF7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未经复议直接起诉</w:t>
            </w:r>
          </w:p>
        </w:tc>
        <w:tc>
          <w:tcPr>
            <w:tcW w:w="3255" w:type="dxa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DDEBF7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复议后起诉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4" w:hRule="atLeast"/>
          <w:jc w:val="center"/>
        </w:trPr>
        <w:tc>
          <w:tcPr>
            <w:tcW w:w="649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649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649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649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649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结果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维持</w:t>
            </w:r>
          </w:p>
        </w:tc>
        <w:tc>
          <w:tcPr>
            <w:tcW w:w="64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结果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纠正</w:t>
            </w:r>
          </w:p>
        </w:tc>
        <w:tc>
          <w:tcPr>
            <w:tcW w:w="6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其他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结果</w:t>
            </w:r>
          </w:p>
        </w:tc>
        <w:tc>
          <w:tcPr>
            <w:tcW w:w="6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尚未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审结</w:t>
            </w:r>
          </w:p>
        </w:tc>
        <w:tc>
          <w:tcPr>
            <w:tcW w:w="6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总计</w:t>
            </w:r>
          </w:p>
        </w:tc>
        <w:tc>
          <w:tcPr>
            <w:tcW w:w="65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结果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维持</w:t>
            </w:r>
          </w:p>
        </w:tc>
        <w:tc>
          <w:tcPr>
            <w:tcW w:w="65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结果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纠正</w:t>
            </w:r>
          </w:p>
        </w:tc>
        <w:tc>
          <w:tcPr>
            <w:tcW w:w="65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其他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结果</w:t>
            </w:r>
          </w:p>
        </w:tc>
        <w:tc>
          <w:tcPr>
            <w:tcW w:w="65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尚未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审结</w:t>
            </w:r>
          </w:p>
        </w:tc>
        <w:tc>
          <w:tcPr>
            <w:tcW w:w="65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总计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</w:tblPrEx>
        <w:trPr>
          <w:trHeight w:val="672" w:hRule="atLeast"/>
          <w:jc w:val="center"/>
        </w:trPr>
        <w:tc>
          <w:tcPr>
            <w:tcW w:w="64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</w:pPr>
            <w:r>
              <w:rPr>
                <w:rFonts w:hint="eastAsia" w:ascii="黑体" w:hAnsi="宋体" w:eastAsia="黑体" w:cs="黑体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4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4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</w:pPr>
            <w:r>
              <w:rPr>
                <w:rFonts w:hint="eastAsia" w:ascii="黑体" w:hAnsi="宋体" w:eastAsia="黑体" w:cs="黑体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4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4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</w:pPr>
            <w:r>
              <w:rPr>
                <w:rFonts w:hint="eastAsia" w:ascii="黑体" w:hAnsi="宋体" w:eastAsia="黑体" w:cs="黑体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4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</w:pPr>
            <w:r>
              <w:rPr>
                <w:rFonts w:hint="eastAsia" w:ascii="黑体" w:hAnsi="宋体" w:eastAsia="黑体" w:cs="黑体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4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</w:pPr>
            <w:r>
              <w:rPr>
                <w:rFonts w:hint="eastAsia" w:ascii="黑体" w:hAnsi="宋体" w:eastAsia="黑体" w:cs="黑体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5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</w:pPr>
            <w:r>
              <w:rPr>
                <w:rFonts w:hint="eastAsia" w:ascii="黑体" w:hAnsi="宋体" w:eastAsia="黑体" w:cs="黑体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5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</w:pPr>
            <w:r>
              <w:rPr>
                <w:rFonts w:hint="eastAsia" w:ascii="黑体" w:hAnsi="宋体" w:eastAsia="黑体" w:cs="黑体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5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51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</w:pPr>
            <w:r>
              <w:rPr>
                <w:rFonts w:hint="eastAsia" w:ascii="黑体" w:hAnsi="宋体" w:eastAsia="黑体" w:cs="黑体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51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</w:pPr>
            <w:r>
              <w:rPr>
                <w:rFonts w:hint="eastAsia" w:ascii="黑体" w:hAnsi="宋体" w:eastAsia="黑体" w:cs="黑体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51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51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center"/>
            </w:pPr>
            <w:r>
              <w:rPr>
                <w:rFonts w:hint="eastAsia" w:ascii="黑体" w:hAnsi="宋体" w:eastAsia="黑体" w:cs="黑体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51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hint="eastAsia" w:asci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</w:tr>
    </w:tbl>
    <w:p>
      <w:pPr>
        <w:keepNext w:val="0"/>
        <w:keepLines w:val="0"/>
        <w:widowControl/>
        <w:suppressLineNumbers w:val="0"/>
        <w:jc w:val="left"/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72" w:firstLineChars="200"/>
        <w:jc w:val="left"/>
        <w:textAlignment w:val="auto"/>
        <w:rPr>
          <w:rFonts w:ascii="宋体" w:hAnsi="宋体" w:cs="宋体"/>
          <w:spacing w:val="8"/>
          <w:kern w:val="0"/>
          <w:sz w:val="32"/>
          <w:szCs w:val="32"/>
        </w:rPr>
      </w:pPr>
      <w:r>
        <w:rPr>
          <w:rFonts w:ascii="黑体" w:hAnsi="黑体" w:eastAsia="黑体" w:cs="宋体"/>
          <w:spacing w:val="8"/>
          <w:kern w:val="0"/>
          <w:sz w:val="32"/>
          <w:szCs w:val="32"/>
        </w:rPr>
        <w:t>五、存在的主要问题及改进情况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20"/>
        <w:textAlignment w:val="auto"/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（1）存在的问题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2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1、我局全年在部分主动公开的信息内容仍不够完善，广度及深层次解读不足，需要进一步充实完善主动工信息内容。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2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2、政府信息公开宣传范围广泛度不够，需要进一步提高群众对政府信息公开工作内容及申请流程的认知度。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2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3、部分民警对政府信息公开工作的认识和水平不足，需要进一步加强培训督导工作，提高政治站位。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20"/>
        <w:textAlignment w:val="auto"/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（2）改进措施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2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1、针对群众关切的热点问题，全面进行研判分析，丰富政策解读形式，增强感观体验深度，让群众切实获得所需信息。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2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2、采取网络、电视新闻、报纸多种社会宣传形式加强政府信息公开宣传力度，扩大宣传范围，切实提高群众对我局政府信息公开的知晓率和参与程度。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20"/>
        <w:textAlignment w:val="auto"/>
        <w:rPr>
          <w:rFonts w:hint="eastAsia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3、定期组织开展民警政府信息公开业务学习和技能培训，提高民警政治思想站位，确保政府信息公开准确、及时、规范，发挥窗口纽带作用，提供优质高效服务，加强人民群众对我局工作的支持和理解，感受到更充足的获得感、幸福感和安全感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75"/>
        <w:jc w:val="left"/>
        <w:textAlignment w:val="auto"/>
        <w:rPr>
          <w:rFonts w:ascii="黑体" w:hAnsi="黑体" w:eastAsia="黑体" w:cs="宋体"/>
          <w:spacing w:val="8"/>
          <w:kern w:val="0"/>
          <w:sz w:val="32"/>
          <w:szCs w:val="32"/>
        </w:rPr>
      </w:pPr>
      <w:r>
        <w:rPr>
          <w:rFonts w:ascii="黑体" w:hAnsi="黑体" w:eastAsia="黑体" w:cs="宋体"/>
          <w:spacing w:val="8"/>
          <w:kern w:val="0"/>
          <w:sz w:val="32"/>
          <w:szCs w:val="32"/>
        </w:rPr>
        <w:t>六、其他需要报告的事项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72"/>
        <w:textAlignment w:val="auto"/>
        <w:outlineLvl w:val="9"/>
        <w:rPr>
          <w:rFonts w:hint="eastAsia" w:ascii="仿宋_GB2312" w:hAnsi="仿宋_GB2312" w:eastAsia="仿宋_GB2312" w:cs="仿宋_GB2312"/>
          <w:spacing w:val="8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8"/>
          <w:kern w:val="0"/>
          <w:sz w:val="32"/>
          <w:szCs w:val="32"/>
        </w:rPr>
        <w:t>北京市公安局门户网站（“北京市公安局”）网址为</w:t>
      </w:r>
      <w:r>
        <w:rPr>
          <w:rFonts w:hint="eastAsia" w:ascii="仿宋_GB2312" w:hAnsi="仿宋_GB2312" w:eastAsia="仿宋_GB2312" w:cs="仿宋_GB2312"/>
          <w:spacing w:val="8"/>
          <w:kern w:val="0"/>
          <w:sz w:val="32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spacing w:val="8"/>
          <w:kern w:val="0"/>
          <w:sz w:val="32"/>
          <w:szCs w:val="32"/>
        </w:rPr>
        <w:instrText xml:space="preserve"> HYPERLINK "http://gaj.beijing" </w:instrText>
      </w:r>
      <w:r>
        <w:rPr>
          <w:rFonts w:hint="eastAsia" w:ascii="仿宋_GB2312" w:hAnsi="仿宋_GB2312" w:eastAsia="仿宋_GB2312" w:cs="仿宋_GB2312"/>
          <w:spacing w:val="8"/>
          <w:kern w:val="0"/>
          <w:sz w:val="32"/>
          <w:szCs w:val="32"/>
        </w:rPr>
        <w:fldChar w:fldCharType="separate"/>
      </w:r>
      <w:r>
        <w:rPr>
          <w:rFonts w:hint="eastAsia" w:ascii="仿宋_GB2312" w:hAnsi="仿宋_GB2312" w:eastAsia="仿宋_GB2312" w:cs="仿宋_GB2312"/>
          <w:spacing w:val="8"/>
          <w:kern w:val="0"/>
          <w:sz w:val="32"/>
          <w:szCs w:val="32"/>
        </w:rPr>
        <w:t>http://gaj.beijing</w:t>
      </w:r>
      <w:r>
        <w:rPr>
          <w:rFonts w:hint="eastAsia" w:ascii="仿宋_GB2312" w:hAnsi="仿宋_GB2312" w:eastAsia="仿宋_GB2312" w:cs="仿宋_GB2312"/>
          <w:spacing w:val="8"/>
          <w:kern w:val="0"/>
          <w:sz w:val="32"/>
          <w:szCs w:val="32"/>
        </w:rPr>
        <w:fldChar w:fldCharType="end"/>
      </w:r>
      <w:r>
        <w:rPr>
          <w:rFonts w:hint="eastAsia" w:ascii="仿宋_GB2312" w:hAnsi="仿宋_GB2312" w:eastAsia="仿宋_GB2312" w:cs="仿宋_GB2312"/>
          <w:spacing w:val="8"/>
          <w:kern w:val="0"/>
          <w:sz w:val="32"/>
          <w:szCs w:val="32"/>
        </w:rPr>
        <w:t>.gov.cn/。如需了解更多政府信息，请登录查询。</w:t>
      </w:r>
    </w:p>
    <w:p>
      <w:pPr>
        <w:pStyle w:val="2"/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8FBF937"/>
    <w:multiLevelType w:val="singleLevel"/>
    <w:tmpl w:val="F8FBF937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3671A8"/>
    <w:rsid w:val="023539DD"/>
    <w:rsid w:val="040161DE"/>
    <w:rsid w:val="043671A8"/>
    <w:rsid w:val="1B8819EC"/>
    <w:rsid w:val="1DE0698F"/>
    <w:rsid w:val="26BF01B2"/>
    <w:rsid w:val="279D6D0A"/>
    <w:rsid w:val="28AC5AF1"/>
    <w:rsid w:val="29A83535"/>
    <w:rsid w:val="34357316"/>
    <w:rsid w:val="35310562"/>
    <w:rsid w:val="36860184"/>
    <w:rsid w:val="3A5F245E"/>
    <w:rsid w:val="3A814923"/>
    <w:rsid w:val="3B110267"/>
    <w:rsid w:val="3C3A416E"/>
    <w:rsid w:val="3E876F67"/>
    <w:rsid w:val="3FB43D6D"/>
    <w:rsid w:val="453909FA"/>
    <w:rsid w:val="46387AD5"/>
    <w:rsid w:val="46426C5E"/>
    <w:rsid w:val="4BE8362F"/>
    <w:rsid w:val="52C83E3B"/>
    <w:rsid w:val="53C94A04"/>
    <w:rsid w:val="56122890"/>
    <w:rsid w:val="57FC0D65"/>
    <w:rsid w:val="582C45CF"/>
    <w:rsid w:val="5A4364A4"/>
    <w:rsid w:val="5A924E44"/>
    <w:rsid w:val="5E5A7945"/>
    <w:rsid w:val="5FA1497F"/>
    <w:rsid w:val="66262123"/>
    <w:rsid w:val="66E36F25"/>
    <w:rsid w:val="74F14A86"/>
    <w:rsid w:val="790D1A89"/>
    <w:rsid w:val="7BC11C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/>
    </w:rPr>
  </w:style>
  <w:style w:type="paragraph" w:styleId="3">
    <w:name w:val="Normal (Web)"/>
    <w:basedOn w:val="1"/>
    <w:qFormat/>
    <w:uiPriority w:val="99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Office_11.8.2.8808_F1E327BC-269C-435d-A152-05C5408002CA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2022-12-30T06:11:00Z</dcterms:created>
  <dc:creator>Administrator</dc:creator>
  <cp:lastModifiedBy>wangzhiyong</cp:lastModifiedBy>
  <cp:lastPrinted>2023-01-04T06:09:00Z</cp:lastPrinted>
  <dcterms:modified xsi:type="dcterms:W3CDTF">2023-01-16T09:26:46Z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2052-11.8.2.8808</vt:lpwstr>
  </property>
</Properties>
</file>