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highlight w:val="none"/>
          <w:lang w:eastAsia="zh-CN"/>
        </w:rPr>
      </w:pPr>
      <w:r>
        <w:rPr>
          <w:rFonts w:hint="default" w:ascii="Times New Roman" w:hAnsi="Times New Roman" w:eastAsia="方正小标宋简体" w:cs="Times New Roman"/>
          <w:sz w:val="44"/>
          <w:szCs w:val="44"/>
          <w:highlight w:val="none"/>
          <w:lang w:eastAsia="zh-CN"/>
        </w:rPr>
        <w:t>北京市公安局</w:t>
      </w:r>
      <w:r>
        <w:rPr>
          <w:rFonts w:hint="eastAsia" w:eastAsia="方正小标宋简体" w:cs="Times New Roman"/>
          <w:sz w:val="44"/>
          <w:szCs w:val="44"/>
          <w:highlight w:val="none"/>
          <w:lang w:eastAsia="zh-CN"/>
        </w:rPr>
        <w:t>密云</w:t>
      </w:r>
      <w:r>
        <w:rPr>
          <w:rFonts w:hint="default" w:ascii="Times New Roman" w:hAnsi="Times New Roman" w:eastAsia="方正小标宋简体" w:cs="Times New Roman"/>
          <w:sz w:val="44"/>
          <w:szCs w:val="44"/>
          <w:highlight w:val="none"/>
          <w:lang w:eastAsia="zh-CN"/>
        </w:rPr>
        <w:t>分局</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z w:val="44"/>
          <w:szCs w:val="44"/>
          <w:highlight w:val="none"/>
          <w:lang w:eastAsia="zh-CN"/>
        </w:rPr>
      </w:pPr>
      <w:r>
        <w:rPr>
          <w:rFonts w:hint="default" w:ascii="Times New Roman" w:hAnsi="Times New Roman" w:eastAsia="方正小标宋简体" w:cs="Times New Roman"/>
          <w:sz w:val="44"/>
          <w:szCs w:val="44"/>
          <w:highlight w:val="none"/>
        </w:rPr>
        <w:t>202</w:t>
      </w:r>
      <w:r>
        <w:rPr>
          <w:rFonts w:hint="eastAsia" w:eastAsia="方正小标宋简体" w:cs="Times New Roman"/>
          <w:sz w:val="44"/>
          <w:szCs w:val="44"/>
          <w:highlight w:val="none"/>
          <w:lang w:val="en-US" w:eastAsia="zh-CN"/>
        </w:rPr>
        <w:t>5</w:t>
      </w:r>
      <w:r>
        <w:rPr>
          <w:rFonts w:hint="default" w:ascii="Times New Roman" w:hAnsi="Times New Roman" w:eastAsia="方正小标宋简体" w:cs="Times New Roman"/>
          <w:sz w:val="44"/>
          <w:szCs w:val="44"/>
          <w:highlight w:val="none"/>
        </w:rPr>
        <w:t>年政府信息公开工作年度报告</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44"/>
          <w:szCs w:val="44"/>
        </w:rPr>
      </w:pPr>
    </w:p>
    <w:p>
      <w:pPr>
        <w:keepNext w:val="0"/>
        <w:keepLines w:val="0"/>
        <w:pageBreakBefore w:val="0"/>
        <w:widowControl/>
        <w:kinsoku/>
        <w:wordWrap/>
        <w:overflowPunct/>
        <w:topLinePunct w:val="0"/>
        <w:autoSpaceDE/>
        <w:autoSpaceDN/>
        <w:bidi w:val="0"/>
        <w:adjustRightInd/>
        <w:snapToGrid/>
        <w:spacing w:line="560" w:lineRule="exact"/>
        <w:ind w:firstLine="672" w:firstLineChars="200"/>
        <w:jc w:val="left"/>
        <w:textAlignment w:val="auto"/>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lang w:eastAsia="zh-CN"/>
        </w:rPr>
        <w:t>依据</w:t>
      </w:r>
      <w:r>
        <w:rPr>
          <w:rFonts w:hint="default" w:ascii="Times New Roman" w:hAnsi="Times New Roman" w:eastAsia="仿宋_GB2312" w:cs="Times New Roman"/>
          <w:spacing w:val="8"/>
          <w:kern w:val="0"/>
          <w:sz w:val="32"/>
          <w:szCs w:val="32"/>
        </w:rPr>
        <w:t>《中华人民共和国政府信息公开条例》</w:t>
      </w:r>
      <w:r>
        <w:rPr>
          <w:rFonts w:hint="default" w:ascii="Times New Roman" w:hAnsi="Times New Roman" w:eastAsia="仿宋_GB2312" w:cs="Times New Roman"/>
          <w:spacing w:val="8"/>
          <w:kern w:val="0"/>
          <w:sz w:val="32"/>
          <w:szCs w:val="32"/>
          <w:lang w:eastAsia="zh-CN"/>
        </w:rPr>
        <w:t>（以下简称《政府信息公开条例》）第</w:t>
      </w:r>
      <w:r>
        <w:rPr>
          <w:rFonts w:hint="default" w:ascii="Times New Roman" w:hAnsi="Times New Roman" w:eastAsia="仿宋_GB2312" w:cs="Times New Roman"/>
          <w:spacing w:val="8"/>
          <w:kern w:val="0"/>
          <w:sz w:val="32"/>
          <w:szCs w:val="32"/>
        </w:rPr>
        <w:t>五十条</w:t>
      </w:r>
      <w:r>
        <w:rPr>
          <w:rFonts w:hint="default" w:ascii="Times New Roman" w:hAnsi="Times New Roman" w:eastAsia="仿宋_GB2312" w:cs="Times New Roman"/>
          <w:spacing w:val="8"/>
          <w:kern w:val="0"/>
          <w:sz w:val="32"/>
          <w:szCs w:val="32"/>
          <w:lang w:eastAsia="zh-CN"/>
        </w:rPr>
        <w:t>之</w:t>
      </w:r>
      <w:r>
        <w:rPr>
          <w:rFonts w:hint="default" w:ascii="Times New Roman" w:hAnsi="Times New Roman" w:eastAsia="仿宋_GB2312" w:cs="Times New Roman"/>
          <w:spacing w:val="8"/>
          <w:kern w:val="0"/>
          <w:sz w:val="32"/>
          <w:szCs w:val="32"/>
        </w:rPr>
        <w:t>规定，编制本报告。</w:t>
      </w:r>
    </w:p>
    <w:p>
      <w:pPr>
        <w:keepNext w:val="0"/>
        <w:keepLines w:val="0"/>
        <w:pageBreakBefore w:val="0"/>
        <w:widowControl/>
        <w:kinsoku/>
        <w:wordWrap/>
        <w:overflowPunct/>
        <w:topLinePunct w:val="0"/>
        <w:autoSpaceDE/>
        <w:autoSpaceDN/>
        <w:bidi w:val="0"/>
        <w:adjustRightInd/>
        <w:snapToGrid/>
        <w:spacing w:line="560" w:lineRule="exact"/>
        <w:ind w:firstLine="672" w:firstLineChars="200"/>
        <w:jc w:val="left"/>
        <w:textAlignment w:val="auto"/>
        <w:rPr>
          <w:rFonts w:hint="default" w:ascii="Times New Roman" w:hAnsi="Times New Roman" w:eastAsia="黑体" w:cs="Times New Roman"/>
          <w:spacing w:val="8"/>
          <w:kern w:val="0"/>
          <w:sz w:val="32"/>
          <w:szCs w:val="32"/>
        </w:rPr>
      </w:pPr>
      <w:r>
        <w:rPr>
          <w:rFonts w:hint="default" w:ascii="Times New Roman" w:hAnsi="Times New Roman" w:eastAsia="黑体" w:cs="Times New Roman"/>
          <w:spacing w:val="8"/>
          <w:kern w:val="0"/>
          <w:sz w:val="32"/>
          <w:szCs w:val="32"/>
        </w:rPr>
        <w:t>一、总体情况</w:t>
      </w:r>
    </w:p>
    <w:p>
      <w:pPr>
        <w:pStyle w:val="3"/>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20</w:t>
      </w:r>
      <w:r>
        <w:rPr>
          <w:rFonts w:hint="eastAsia" w:ascii="仿宋_GB2312" w:hAnsi="仿宋_GB2312" w:eastAsia="仿宋_GB2312" w:cs="仿宋_GB2312"/>
          <w:b w:val="0"/>
          <w:bCs w:val="0"/>
          <w:kern w:val="2"/>
          <w:sz w:val="32"/>
          <w:szCs w:val="32"/>
          <w:lang w:val="en-US" w:eastAsia="zh-CN" w:bidi="ar-SA"/>
        </w:rPr>
        <w:t>25</w:t>
      </w:r>
      <w:r>
        <w:rPr>
          <w:rFonts w:hint="default" w:ascii="仿宋_GB2312" w:hAnsi="仿宋_GB2312" w:eastAsia="仿宋_GB2312" w:cs="仿宋_GB2312"/>
          <w:b w:val="0"/>
          <w:bCs w:val="0"/>
          <w:kern w:val="2"/>
          <w:sz w:val="32"/>
          <w:szCs w:val="32"/>
          <w:lang w:val="en-US" w:eastAsia="zh-CN" w:bidi="ar-SA"/>
        </w:rPr>
        <w:t>年，</w:t>
      </w:r>
      <w:r>
        <w:rPr>
          <w:rFonts w:hint="eastAsia" w:ascii="仿宋_GB2312" w:hAnsi="仿宋_GB2312" w:eastAsia="仿宋_GB2312" w:cs="仿宋_GB2312"/>
          <w:b w:val="0"/>
          <w:bCs w:val="0"/>
          <w:kern w:val="2"/>
          <w:sz w:val="32"/>
          <w:szCs w:val="32"/>
          <w:lang w:val="en-US" w:eastAsia="zh-CN" w:bidi="ar-SA"/>
        </w:rPr>
        <w:t>北京市公安局密云分局认真落实国务院、市政府关于政府信息公开工作各项部署要求，坚持以公开为常态、以不公开为例外，切实提升主动公开实效，不断拓展公安系统政府信息公开工作的深度和广度，以电子公开为载体，认真扎实工作，依法及时公开各类政务信息，政府信息公开工作稳步有序推进。</w:t>
      </w:r>
    </w:p>
    <w:p>
      <w:pPr>
        <w:numPr>
          <w:ilvl w:val="0"/>
          <w:numId w:val="0"/>
        </w:numPr>
        <w:ind w:firstLine="643" w:firstLineChars="200"/>
        <w:jc w:val="left"/>
        <w:rPr>
          <w:rFonts w:hint="default"/>
          <w:lang w:val="en-US" w:eastAsia="zh-CN"/>
        </w:rPr>
      </w:pPr>
      <w:r>
        <w:rPr>
          <w:rFonts w:hint="eastAsia" w:ascii="华文楷体" w:hAnsi="华文楷体" w:eastAsia="华文楷体" w:cs="华文楷体"/>
          <w:b/>
          <w:bCs/>
          <w:sz w:val="32"/>
          <w:szCs w:val="32"/>
          <w:lang w:val="en-US" w:eastAsia="zh-CN"/>
        </w:rPr>
        <w:t>（一）组织领导</w:t>
      </w:r>
    </w:p>
    <w:p>
      <w:pPr>
        <w:pStyle w:val="3"/>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202</w:t>
      </w:r>
      <w:r>
        <w:rPr>
          <w:rFonts w:hint="eastAsia" w:ascii="仿宋_GB2312" w:hAnsi="仿宋_GB2312" w:eastAsia="仿宋_GB2312" w:cs="仿宋_GB2312"/>
          <w:b w:val="0"/>
          <w:bCs w:val="0"/>
          <w:kern w:val="2"/>
          <w:sz w:val="32"/>
          <w:szCs w:val="32"/>
          <w:lang w:val="en-US" w:eastAsia="zh-CN" w:bidi="ar-SA"/>
        </w:rPr>
        <w:t>5</w:t>
      </w:r>
      <w:r>
        <w:rPr>
          <w:rFonts w:hint="default" w:ascii="仿宋_GB2312" w:hAnsi="仿宋_GB2312" w:eastAsia="仿宋_GB2312" w:cs="仿宋_GB2312"/>
          <w:b w:val="0"/>
          <w:bCs w:val="0"/>
          <w:kern w:val="2"/>
          <w:sz w:val="32"/>
          <w:szCs w:val="32"/>
          <w:lang w:val="en-US" w:eastAsia="zh-CN" w:bidi="ar-SA"/>
        </w:rPr>
        <w:t>年，我局</w:t>
      </w:r>
      <w:r>
        <w:rPr>
          <w:rFonts w:hint="eastAsia" w:ascii="仿宋_GB2312" w:hAnsi="仿宋_GB2312" w:eastAsia="仿宋_GB2312" w:cs="仿宋_GB2312"/>
          <w:b w:val="0"/>
          <w:bCs w:val="0"/>
          <w:kern w:val="2"/>
          <w:sz w:val="32"/>
          <w:szCs w:val="32"/>
          <w:lang w:val="en-US" w:eastAsia="zh-CN" w:bidi="ar-SA"/>
        </w:rPr>
        <w:t>通过强化统筹部署、压实层级责任、细化分工协作等方式持续</w:t>
      </w:r>
      <w:r>
        <w:rPr>
          <w:rFonts w:hint="default" w:ascii="仿宋_GB2312" w:hAnsi="仿宋_GB2312" w:eastAsia="仿宋_GB2312" w:cs="仿宋_GB2312"/>
          <w:b w:val="0"/>
          <w:bCs w:val="0"/>
          <w:kern w:val="2"/>
          <w:sz w:val="32"/>
          <w:szCs w:val="32"/>
          <w:lang w:val="en-US" w:eastAsia="zh-CN" w:bidi="ar-SA"/>
        </w:rPr>
        <w:t>强化组织保障，</w:t>
      </w:r>
      <w:r>
        <w:rPr>
          <w:rFonts w:hint="eastAsia" w:ascii="仿宋_GB2312" w:hAnsi="仿宋_GB2312" w:eastAsia="仿宋_GB2312" w:cs="仿宋_GB2312"/>
          <w:b w:val="0"/>
          <w:bCs w:val="0"/>
          <w:kern w:val="2"/>
          <w:sz w:val="32"/>
          <w:szCs w:val="32"/>
          <w:lang w:val="en-US" w:eastAsia="zh-CN" w:bidi="ar-SA"/>
        </w:rPr>
        <w:t>明确各警种部门的信息公开责任边界</w:t>
      </w:r>
      <w:r>
        <w:rPr>
          <w:rFonts w:hint="default" w:ascii="仿宋_GB2312" w:hAnsi="仿宋_GB2312" w:eastAsia="仿宋_GB2312" w:cs="仿宋_GB2312"/>
          <w:b w:val="0"/>
          <w:bCs w:val="0"/>
          <w:kern w:val="2"/>
          <w:sz w:val="32"/>
          <w:szCs w:val="32"/>
          <w:lang w:val="en-US" w:eastAsia="zh-CN" w:bidi="ar-SA"/>
        </w:rPr>
        <w:t>，各职能部门和基层所队主要领导为本单位政府信息公开工作的第一责任人，对政府信息公开工作进行明确分工，保障政府信息公开工作的有序开展。</w:t>
      </w:r>
    </w:p>
    <w:p>
      <w:pPr>
        <w:numPr>
          <w:ilvl w:val="0"/>
          <w:numId w:val="0"/>
        </w:numPr>
        <w:ind w:firstLine="643" w:firstLineChars="200"/>
        <w:jc w:val="left"/>
        <w:rPr>
          <w:rFonts w:hint="eastAsia"/>
          <w:lang w:val="en-US" w:eastAsia="zh-CN"/>
        </w:rPr>
      </w:pPr>
      <w:r>
        <w:rPr>
          <w:rFonts w:hint="eastAsia" w:ascii="华文楷体" w:hAnsi="华文楷体" w:eastAsia="华文楷体" w:cs="华文楷体"/>
          <w:b/>
          <w:bCs/>
          <w:sz w:val="32"/>
          <w:szCs w:val="32"/>
          <w:lang w:val="en-US" w:eastAsia="zh-CN"/>
        </w:rPr>
        <w:t>（二）关于主动公开情况</w:t>
      </w:r>
    </w:p>
    <w:p>
      <w:pPr>
        <w:numPr>
          <w:ilvl w:val="0"/>
          <w:numId w:val="0"/>
        </w:numPr>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kern w:val="2"/>
          <w:sz w:val="32"/>
          <w:szCs w:val="32"/>
          <w:lang w:val="en-US" w:eastAsia="zh-CN" w:bidi="ar-SA"/>
        </w:rPr>
        <w:t>始终</w:t>
      </w:r>
      <w:r>
        <w:rPr>
          <w:rFonts w:hint="default" w:ascii="仿宋_GB2312" w:hAnsi="仿宋_GB2312" w:eastAsia="仿宋_GB2312" w:cs="仿宋_GB2312"/>
          <w:b w:val="0"/>
          <w:bCs w:val="0"/>
          <w:kern w:val="2"/>
          <w:sz w:val="32"/>
          <w:szCs w:val="32"/>
          <w:lang w:val="en-US" w:eastAsia="zh-CN" w:bidi="ar-SA"/>
        </w:rPr>
        <w:t>坚持以公开为常态、</w:t>
      </w:r>
      <w:r>
        <w:rPr>
          <w:rFonts w:hint="eastAsia" w:ascii="仿宋_GB2312" w:hAnsi="仿宋_GB2312" w:eastAsia="仿宋_GB2312" w:cs="仿宋_GB2312"/>
          <w:b w:val="0"/>
          <w:bCs w:val="0"/>
          <w:kern w:val="2"/>
          <w:sz w:val="32"/>
          <w:szCs w:val="32"/>
          <w:lang w:val="en-US" w:eastAsia="zh-CN" w:bidi="ar-SA"/>
        </w:rPr>
        <w:t>以</w:t>
      </w:r>
      <w:r>
        <w:rPr>
          <w:rFonts w:hint="default" w:ascii="仿宋_GB2312" w:hAnsi="仿宋_GB2312" w:eastAsia="仿宋_GB2312" w:cs="仿宋_GB2312"/>
          <w:b w:val="0"/>
          <w:bCs w:val="0"/>
          <w:kern w:val="2"/>
          <w:sz w:val="32"/>
          <w:szCs w:val="32"/>
          <w:lang w:val="en-US" w:eastAsia="zh-CN" w:bidi="ar-SA"/>
        </w:rPr>
        <w:t>不公开为例外，</w:t>
      </w:r>
      <w:r>
        <w:rPr>
          <w:rFonts w:hint="eastAsia" w:ascii="仿宋_GB2312" w:hAnsi="仿宋_GB2312" w:eastAsia="仿宋_GB2312" w:cs="仿宋_GB2312"/>
          <w:b w:val="0"/>
          <w:bCs w:val="0"/>
          <w:kern w:val="2"/>
          <w:sz w:val="32"/>
          <w:szCs w:val="32"/>
          <w:lang w:val="en-US" w:eastAsia="zh-CN" w:bidi="ar-SA"/>
        </w:rPr>
        <w:t>2025年，我局通过政府网站公开信息20条，依托“平安密云”双微平台对外公开发布各类信息5200余条。</w:t>
      </w:r>
    </w:p>
    <w:p>
      <w:pPr>
        <w:numPr>
          <w:ilvl w:val="0"/>
          <w:numId w:val="0"/>
        </w:numPr>
        <w:ind w:firstLine="643" w:firstLineChars="200"/>
        <w:jc w:val="left"/>
        <w:rPr>
          <w:rFonts w:hint="eastAsia" w:ascii="华文楷体" w:hAnsi="华文楷体" w:eastAsia="华文楷体" w:cs="华文楷体"/>
          <w:b/>
          <w:bCs/>
          <w:sz w:val="32"/>
          <w:szCs w:val="32"/>
          <w:lang w:val="en-US" w:eastAsia="zh-CN"/>
        </w:rPr>
      </w:pPr>
      <w:r>
        <w:rPr>
          <w:rFonts w:hint="eastAsia" w:ascii="华文楷体" w:hAnsi="华文楷体" w:eastAsia="华文楷体" w:cs="华文楷体"/>
          <w:b/>
          <w:bCs/>
          <w:sz w:val="32"/>
          <w:szCs w:val="32"/>
          <w:lang w:val="en-US" w:eastAsia="zh-CN"/>
        </w:rPr>
        <w:t>（三）关于依申请公开办理情况</w:t>
      </w:r>
    </w:p>
    <w:p>
      <w:pPr>
        <w:numPr>
          <w:ilvl w:val="0"/>
          <w:numId w:val="0"/>
        </w:numPr>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2025年，我局依申请信息公开渠道畅通，共受理依申请信息公开11件，均已办结。其中，“予以公开”4件，占36.3%；“部分公开”1件，占9.1%；“无法提供”3件（本机关不掌握相关政府信息），占27.3%；不予公开3件，占27.3%。</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default" w:ascii="Times New Roman" w:hAnsi="Times New Roman" w:eastAsia="仿宋_GB2312" w:cs="Times New Roman"/>
          <w:sz w:val="32"/>
          <w:szCs w:val="32"/>
          <w:lang w:val="en-US" w:eastAsia="zh-CN"/>
        </w:rPr>
      </w:pPr>
      <w:r>
        <w:rPr>
          <w:rFonts w:hint="eastAsia" w:ascii="华文楷体" w:hAnsi="华文楷体" w:eastAsia="华文楷体" w:cs="华文楷体"/>
          <w:b/>
          <w:bCs/>
          <w:sz w:val="32"/>
          <w:szCs w:val="32"/>
          <w:lang w:val="en-US" w:eastAsia="zh-CN"/>
        </w:rPr>
        <w:t>（三）</w:t>
      </w:r>
      <w:r>
        <w:rPr>
          <w:rFonts w:hint="default" w:ascii="华文楷体" w:hAnsi="华文楷体" w:eastAsia="华文楷体" w:cs="华文楷体"/>
          <w:b/>
          <w:bCs/>
          <w:sz w:val="32"/>
          <w:szCs w:val="32"/>
          <w:lang w:val="en-US" w:eastAsia="zh-CN"/>
        </w:rPr>
        <w:t>行政复议、行政诉讼情况</w:t>
      </w:r>
    </w:p>
    <w:p>
      <w:pPr>
        <w:numPr>
          <w:ilvl w:val="0"/>
          <w:numId w:val="0"/>
        </w:numPr>
        <w:ind w:firstLine="640" w:firstLineChars="200"/>
        <w:jc w:val="left"/>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202</w:t>
      </w:r>
      <w:r>
        <w:rPr>
          <w:rFonts w:hint="eastAsia" w:ascii="仿宋_GB2312" w:hAnsi="仿宋_GB2312" w:eastAsia="仿宋_GB2312" w:cs="仿宋_GB2312"/>
          <w:b w:val="0"/>
          <w:bCs w:val="0"/>
          <w:kern w:val="2"/>
          <w:sz w:val="32"/>
          <w:szCs w:val="32"/>
          <w:lang w:val="en-US" w:eastAsia="zh-CN" w:bidi="ar-SA"/>
        </w:rPr>
        <w:t>5</w:t>
      </w:r>
      <w:r>
        <w:rPr>
          <w:rFonts w:hint="default" w:ascii="仿宋_GB2312" w:hAnsi="仿宋_GB2312" w:eastAsia="仿宋_GB2312" w:cs="仿宋_GB2312"/>
          <w:b w:val="0"/>
          <w:bCs w:val="0"/>
          <w:kern w:val="2"/>
          <w:sz w:val="32"/>
          <w:szCs w:val="32"/>
          <w:lang w:val="en-US" w:eastAsia="zh-CN" w:bidi="ar-SA"/>
        </w:rPr>
        <w:t>年，申请人提出政府信息公开行政复议</w:t>
      </w:r>
      <w:r>
        <w:rPr>
          <w:rFonts w:hint="eastAsia" w:ascii="仿宋_GB2312" w:hAnsi="仿宋_GB2312" w:eastAsia="仿宋_GB2312" w:cs="仿宋_GB2312"/>
          <w:b w:val="0"/>
          <w:bCs w:val="0"/>
          <w:kern w:val="2"/>
          <w:sz w:val="32"/>
          <w:szCs w:val="32"/>
          <w:lang w:val="en-US" w:eastAsia="zh-CN" w:bidi="ar-SA"/>
        </w:rPr>
        <w:t>1</w:t>
      </w:r>
      <w:r>
        <w:rPr>
          <w:rFonts w:hint="default" w:ascii="仿宋_GB2312" w:hAnsi="仿宋_GB2312" w:eastAsia="仿宋_GB2312" w:cs="仿宋_GB2312"/>
          <w:b w:val="0"/>
          <w:bCs w:val="0"/>
          <w:kern w:val="2"/>
          <w:sz w:val="32"/>
          <w:szCs w:val="32"/>
          <w:lang w:val="en-US" w:eastAsia="zh-CN" w:bidi="ar-SA"/>
        </w:rPr>
        <w:t>件，</w:t>
      </w:r>
      <w:r>
        <w:rPr>
          <w:rFonts w:hint="eastAsia" w:ascii="仿宋_GB2312" w:hAnsi="仿宋_GB2312" w:eastAsia="仿宋_GB2312" w:cs="仿宋_GB2312"/>
          <w:b w:val="0"/>
          <w:bCs w:val="0"/>
          <w:kern w:val="2"/>
          <w:sz w:val="32"/>
          <w:szCs w:val="32"/>
          <w:lang w:val="en-US" w:eastAsia="zh-CN" w:bidi="ar-SA"/>
        </w:rPr>
        <w:t>复议机关作为出</w:t>
      </w:r>
      <w:r>
        <w:rPr>
          <w:rFonts w:hint="default" w:ascii="仿宋_GB2312" w:hAnsi="仿宋_GB2312" w:eastAsia="仿宋_GB2312" w:cs="仿宋_GB2312"/>
          <w:b w:val="0"/>
          <w:bCs w:val="0"/>
          <w:kern w:val="2"/>
          <w:sz w:val="32"/>
          <w:szCs w:val="32"/>
          <w:lang w:val="en-US" w:eastAsia="zh-CN" w:bidi="ar-SA"/>
        </w:rPr>
        <w:t>维持结果</w:t>
      </w:r>
      <w:r>
        <w:rPr>
          <w:rFonts w:hint="eastAsia" w:ascii="仿宋_GB2312" w:hAnsi="仿宋_GB2312" w:eastAsia="仿宋_GB2312" w:cs="仿宋_GB2312"/>
          <w:b w:val="0"/>
          <w:bCs w:val="0"/>
          <w:kern w:val="2"/>
          <w:sz w:val="32"/>
          <w:szCs w:val="32"/>
          <w:lang w:val="en-US" w:eastAsia="zh-CN" w:bidi="ar-SA"/>
        </w:rPr>
        <w:t>1</w:t>
      </w:r>
      <w:r>
        <w:rPr>
          <w:rFonts w:hint="default" w:ascii="仿宋_GB2312" w:hAnsi="仿宋_GB2312" w:eastAsia="仿宋_GB2312" w:cs="仿宋_GB2312"/>
          <w:b w:val="0"/>
          <w:bCs w:val="0"/>
          <w:kern w:val="2"/>
          <w:sz w:val="32"/>
          <w:szCs w:val="32"/>
          <w:lang w:val="en-US" w:eastAsia="zh-CN" w:bidi="ar-SA"/>
        </w:rPr>
        <w:t>件。</w:t>
      </w:r>
      <w:r>
        <w:rPr>
          <w:rFonts w:hint="eastAsia" w:ascii="仿宋_GB2312" w:hAnsi="仿宋_GB2312" w:eastAsia="仿宋_GB2312" w:cs="仿宋_GB2312"/>
          <w:b w:val="0"/>
          <w:bCs w:val="0"/>
          <w:kern w:val="2"/>
          <w:sz w:val="32"/>
          <w:szCs w:val="32"/>
          <w:lang w:val="en-US" w:eastAsia="zh-CN" w:bidi="ar-SA"/>
        </w:rPr>
        <w:t>我局</w:t>
      </w:r>
      <w:r>
        <w:rPr>
          <w:rFonts w:hint="default" w:ascii="仿宋_GB2312" w:hAnsi="仿宋_GB2312" w:eastAsia="仿宋_GB2312" w:cs="仿宋_GB2312"/>
          <w:b w:val="0"/>
          <w:bCs w:val="0"/>
          <w:kern w:val="2"/>
          <w:sz w:val="32"/>
          <w:szCs w:val="32"/>
          <w:lang w:val="en-US" w:eastAsia="zh-CN" w:bidi="ar-SA"/>
        </w:rPr>
        <w:t>未</w:t>
      </w:r>
      <w:r>
        <w:rPr>
          <w:rFonts w:hint="eastAsia" w:ascii="仿宋_GB2312" w:hAnsi="仿宋_GB2312" w:eastAsia="仿宋_GB2312" w:cs="仿宋_GB2312"/>
          <w:b w:val="0"/>
          <w:bCs w:val="0"/>
          <w:kern w:val="2"/>
          <w:sz w:val="32"/>
          <w:szCs w:val="32"/>
          <w:lang w:val="en-US" w:eastAsia="zh-CN" w:bidi="ar-SA"/>
        </w:rPr>
        <w:t>出现有关政府信息公开类</w:t>
      </w:r>
      <w:r>
        <w:rPr>
          <w:rFonts w:hint="default" w:ascii="仿宋_GB2312" w:hAnsi="仿宋_GB2312" w:eastAsia="仿宋_GB2312" w:cs="仿宋_GB2312"/>
          <w:b w:val="0"/>
          <w:bCs w:val="0"/>
          <w:kern w:val="2"/>
          <w:sz w:val="32"/>
          <w:szCs w:val="32"/>
          <w:lang w:val="en-US" w:eastAsia="zh-CN" w:bidi="ar-SA"/>
        </w:rPr>
        <w:t>行政诉讼</w:t>
      </w:r>
      <w:r>
        <w:rPr>
          <w:rFonts w:hint="eastAsia" w:ascii="仿宋_GB2312" w:hAnsi="仿宋_GB2312" w:eastAsia="仿宋_GB2312" w:cs="仿宋_GB2312"/>
          <w:b w:val="0"/>
          <w:bCs w:val="0"/>
          <w:kern w:val="2"/>
          <w:sz w:val="32"/>
          <w:szCs w:val="32"/>
          <w:lang w:val="en-US" w:eastAsia="zh-CN" w:bidi="ar-SA"/>
        </w:rPr>
        <w:t>案件</w:t>
      </w:r>
      <w:r>
        <w:rPr>
          <w:rFonts w:hint="default" w:ascii="仿宋_GB2312" w:hAnsi="仿宋_GB2312" w:eastAsia="仿宋_GB2312" w:cs="仿宋_GB2312"/>
          <w:b w:val="0"/>
          <w:bCs w:val="0"/>
          <w:kern w:val="2"/>
          <w:sz w:val="32"/>
          <w:szCs w:val="32"/>
          <w:lang w:val="en-US" w:eastAsia="zh-CN" w:bidi="ar-SA"/>
        </w:rPr>
        <w:t>。</w:t>
      </w:r>
    </w:p>
    <w:p>
      <w:pPr>
        <w:numPr>
          <w:ilvl w:val="0"/>
          <w:numId w:val="0"/>
        </w:numPr>
        <w:ind w:firstLine="643" w:firstLineChars="200"/>
        <w:jc w:val="left"/>
        <w:rPr>
          <w:rFonts w:hint="eastAsia" w:ascii="华文楷体" w:hAnsi="华文楷体" w:eastAsia="华文楷体" w:cs="华文楷体"/>
          <w:b/>
          <w:bCs/>
          <w:sz w:val="32"/>
          <w:szCs w:val="32"/>
          <w:lang w:val="en-US" w:eastAsia="zh-CN"/>
        </w:rPr>
      </w:pPr>
      <w:r>
        <w:rPr>
          <w:rFonts w:hint="eastAsia" w:ascii="华文楷体" w:hAnsi="华文楷体" w:eastAsia="华文楷体" w:cs="华文楷体"/>
          <w:b/>
          <w:bCs/>
          <w:sz w:val="32"/>
          <w:szCs w:val="32"/>
          <w:lang w:val="en-US" w:eastAsia="zh-CN"/>
        </w:rPr>
        <w:t>（四）关于政府信息公开平台建设情况</w:t>
      </w:r>
    </w:p>
    <w:p>
      <w:pPr>
        <w:numPr>
          <w:ilvl w:val="0"/>
          <w:numId w:val="0"/>
        </w:numPr>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2025年，我局继续贯彻“互联网+首都公安政务服务”思路，不断加强新媒体建设，依托“平安密云”微博、微信双微平台账号，紧跟新媒体发展趋势特点，不断创新宣传方式方法，与时俱进地将便民服务、短视频作品宣传等纳入工作重点。</w:t>
      </w:r>
    </w:p>
    <w:p>
      <w:pPr>
        <w:numPr>
          <w:ilvl w:val="0"/>
          <w:numId w:val="0"/>
        </w:numPr>
        <w:ind w:firstLine="643" w:firstLineChars="200"/>
        <w:jc w:val="left"/>
        <w:rPr>
          <w:rFonts w:hint="eastAsia" w:ascii="华文楷体" w:hAnsi="华文楷体" w:eastAsia="华文楷体" w:cs="华文楷体"/>
          <w:b/>
          <w:bCs/>
          <w:sz w:val="32"/>
          <w:szCs w:val="32"/>
          <w:lang w:val="en-US" w:eastAsia="zh-CN"/>
        </w:rPr>
      </w:pPr>
      <w:r>
        <w:rPr>
          <w:rFonts w:hint="eastAsia" w:ascii="华文楷体" w:hAnsi="华文楷体" w:eastAsia="华文楷体" w:cs="华文楷体"/>
          <w:b/>
          <w:bCs/>
          <w:sz w:val="32"/>
          <w:szCs w:val="32"/>
          <w:lang w:val="en-US" w:eastAsia="zh-CN"/>
        </w:rPr>
        <w:t>（五）关于政府信息公开监督保障及教育培训情况</w:t>
      </w:r>
    </w:p>
    <w:p>
      <w:pPr>
        <w:numPr>
          <w:ilvl w:val="0"/>
          <w:numId w:val="0"/>
        </w:numPr>
        <w:ind w:firstLine="640" w:firstLineChars="200"/>
        <w:jc w:val="left"/>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我局下设政府信息公开机构1个，从事政府信息公开工作兼职人员2名。政府信息公开机构召开工作会议或专题会议2次。</w:t>
      </w:r>
    </w:p>
    <w:p>
      <w:pPr>
        <w:pStyle w:val="3"/>
        <w:rPr>
          <w:rFonts w:hint="eastAsia" w:ascii="仿宋_GB2312" w:hAnsi="仿宋_GB2312" w:eastAsia="仿宋_GB2312" w:cs="仿宋_GB2312"/>
          <w:b w:val="0"/>
          <w:bCs w:val="0"/>
          <w:sz w:val="32"/>
          <w:szCs w:val="32"/>
          <w:lang w:val="en-US" w:eastAsia="zh-CN"/>
        </w:rPr>
      </w:pPr>
    </w:p>
    <w:p>
      <w:pPr>
        <w:pStyle w:val="3"/>
        <w:rPr>
          <w:rFonts w:hint="eastAsia" w:ascii="仿宋_GB2312" w:hAnsi="仿宋_GB2312" w:eastAsia="仿宋_GB2312" w:cs="仿宋_GB2312"/>
          <w:b w:val="0"/>
          <w:bCs w:val="0"/>
          <w:sz w:val="32"/>
          <w:szCs w:val="32"/>
          <w:lang w:val="en-US" w:eastAsia="zh-CN"/>
        </w:rPr>
      </w:pPr>
    </w:p>
    <w:p>
      <w:pPr>
        <w:pStyle w:val="3"/>
        <w:rPr>
          <w:rFonts w:hint="eastAsia" w:ascii="仿宋_GB2312" w:hAnsi="仿宋_GB2312" w:eastAsia="仿宋_GB2312" w:cs="仿宋_GB2312"/>
          <w:b w:val="0"/>
          <w:bCs w:val="0"/>
          <w:sz w:val="32"/>
          <w:szCs w:val="32"/>
          <w:lang w:val="en-US" w:eastAsia="zh-CN"/>
        </w:rPr>
      </w:pPr>
    </w:p>
    <w:p>
      <w:pPr>
        <w:pStyle w:val="3"/>
        <w:rPr>
          <w:rFonts w:hint="eastAsia" w:ascii="仿宋_GB2312" w:hAnsi="仿宋_GB2312" w:eastAsia="仿宋_GB2312" w:cs="仿宋_GB2312"/>
          <w:b w:val="0"/>
          <w:bCs w:val="0"/>
          <w:sz w:val="32"/>
          <w:szCs w:val="32"/>
          <w:lang w:val="en-US" w:eastAsia="zh-CN"/>
        </w:rPr>
      </w:pPr>
    </w:p>
    <w:p>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二、</w:t>
      </w:r>
      <w:r>
        <w:rPr>
          <w:rFonts w:hint="default" w:ascii="Times New Roman" w:hAnsi="Times New Roman" w:eastAsia="黑体" w:cs="Times New Roman"/>
          <w:sz w:val="32"/>
          <w:szCs w:val="32"/>
        </w:rPr>
        <w:t>主动公开政府信息情况</w:t>
      </w:r>
    </w:p>
    <w:tbl>
      <w:tblPr>
        <w:tblStyle w:val="7"/>
        <w:tblpPr w:leftFromText="180" w:rightFromText="180" w:vertAnchor="text" w:horzAnchor="page" w:tblpX="1410" w:tblpY="556"/>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35"/>
        <w:gridCol w:w="2435"/>
        <w:gridCol w:w="2435"/>
        <w:gridCol w:w="2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243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本年制发件数</w:t>
            </w:r>
          </w:p>
        </w:tc>
        <w:tc>
          <w:tcPr>
            <w:tcW w:w="243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本年废止件数</w:t>
            </w:r>
          </w:p>
        </w:tc>
        <w:tc>
          <w:tcPr>
            <w:tcW w:w="243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现行有效件数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2"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规章</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行政规范性文件</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第二十条第（五）项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7305" w:type="dxa"/>
            <w:gridSpan w:val="3"/>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本年处理决定数量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行政许可</w:t>
            </w:r>
          </w:p>
        </w:tc>
        <w:tc>
          <w:tcPr>
            <w:tcW w:w="7305" w:type="dxa"/>
            <w:gridSpan w:val="3"/>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eastAsia" w:ascii="宋体" w:hAnsi="宋体" w:cs="宋体"/>
                <w:color w:val="000000"/>
                <w:kern w:val="0"/>
                <w:sz w:val="20"/>
                <w:szCs w:val="20"/>
                <w:highlight w:val="none"/>
                <w:lang w:val="en-US" w:eastAsia="zh-CN" w:bidi="ar"/>
              </w:rPr>
              <w:t>17168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第二十条第（六）项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7305" w:type="dxa"/>
            <w:gridSpan w:val="3"/>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本年处理决定数量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5"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行政处罚</w:t>
            </w:r>
          </w:p>
        </w:tc>
        <w:tc>
          <w:tcPr>
            <w:tcW w:w="7305" w:type="dxa"/>
            <w:gridSpan w:val="3"/>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eastAsia" w:cs="Times New Roman"/>
                <w:color w:val="000000"/>
                <w:kern w:val="0"/>
                <w:sz w:val="20"/>
                <w:szCs w:val="20"/>
                <w:lang w:val="en-US" w:eastAsia="zh-CN" w:bidi="ar"/>
              </w:rPr>
              <w:t>528815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行政强制</w:t>
            </w:r>
          </w:p>
        </w:tc>
        <w:tc>
          <w:tcPr>
            <w:tcW w:w="7305" w:type="dxa"/>
            <w:gridSpan w:val="3"/>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eastAsia" w:cs="Times New Roman"/>
                <w:color w:val="000000"/>
                <w:kern w:val="0"/>
                <w:sz w:val="20"/>
                <w:szCs w:val="20"/>
                <w:lang w:val="en-US" w:eastAsia="zh-CN" w:bidi="ar"/>
              </w:rPr>
              <w:t>1105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7305" w:type="dxa"/>
            <w:gridSpan w:val="3"/>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本年收费金额（单位：万元）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75"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行政事业性收费</w:t>
            </w:r>
          </w:p>
        </w:tc>
        <w:tc>
          <w:tcPr>
            <w:tcW w:w="7305" w:type="dxa"/>
            <w:gridSpan w:val="3"/>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tabs>
                <w:tab w:val="left" w:pos="3775"/>
              </w:tabs>
              <w:kinsoku/>
              <w:wordWrap/>
              <w:overflowPunct/>
              <w:topLinePunct w:val="0"/>
              <w:autoSpaceDE/>
              <w:autoSpaceDN/>
              <w:bidi w:val="0"/>
              <w:adjustRightInd/>
              <w:snapToGrid w:val="0"/>
              <w:spacing w:before="0" w:beforeAutospacing="0" w:after="0" w:afterAutospacing="0" w:line="240" w:lineRule="auto"/>
              <w:ind w:left="0" w:right="0" w:firstLine="3200" w:firstLineChars="1600"/>
              <w:jc w:val="both"/>
              <w:textAlignment w:val="auto"/>
              <w:rPr>
                <w:rFonts w:hint="default" w:ascii="Times New Roman" w:hAnsi="Times New Roman" w:eastAsia="宋体" w:cs="Times New Roman"/>
                <w:color w:val="000000"/>
                <w:kern w:val="0"/>
                <w:sz w:val="20"/>
                <w:szCs w:val="20"/>
                <w:lang w:val="en-US" w:eastAsia="zh-CN" w:bidi="ar"/>
              </w:rPr>
            </w:pPr>
            <w:r>
              <w:rPr>
                <w:rFonts w:hint="eastAsia" w:cs="Times New Roman"/>
                <w:color w:val="auto"/>
                <w:kern w:val="0"/>
                <w:sz w:val="20"/>
                <w:szCs w:val="20"/>
                <w:highlight w:val="none"/>
                <w:lang w:val="en-US" w:eastAsia="zh-CN" w:bidi="ar"/>
              </w:rPr>
              <w:t>34.5654</w:t>
            </w:r>
          </w:p>
        </w:tc>
      </w:tr>
    </w:tbl>
    <w:p>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黑体" w:cs="Times New Roman"/>
          <w:sz w:val="32"/>
          <w:szCs w:val="32"/>
          <w:lang w:eastAsia="zh-CN"/>
        </w:rPr>
        <w:t>三、</w:t>
      </w:r>
      <w:r>
        <w:rPr>
          <w:rFonts w:hint="default" w:ascii="Times New Roman" w:hAnsi="Times New Roman" w:eastAsia="黑体" w:cs="Times New Roman"/>
          <w:sz w:val="32"/>
          <w:szCs w:val="32"/>
        </w:rPr>
        <w:t>收到和处理政府信息公开申请情况</w:t>
      </w:r>
    </w:p>
    <w:tbl>
      <w:tblPr>
        <w:tblStyle w:val="7"/>
        <w:tblW w:w="9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8"/>
        <w:gridCol w:w="944"/>
        <w:gridCol w:w="3225"/>
        <w:gridCol w:w="688"/>
        <w:gridCol w:w="688"/>
        <w:gridCol w:w="688"/>
        <w:gridCol w:w="688"/>
        <w:gridCol w:w="688"/>
        <w:gridCol w:w="692"/>
        <w:gridCol w:w="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vMerge w:val="restart"/>
            <w:shd w:val="clear" w:color="auto" w:fill="9BC2E6"/>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（本列数据的勾稽关系为：第一项加第二项之和，等于第三项加第四项之和）</w:t>
            </w:r>
          </w:p>
        </w:tc>
        <w:tc>
          <w:tcPr>
            <w:tcW w:w="4822" w:type="dxa"/>
            <w:gridSpan w:val="7"/>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申请人情况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vMerge w:val="continue"/>
            <w:shd w:val="clear" w:color="auto" w:fill="9BC2E6"/>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688" w:type="dxa"/>
            <w:vMerge w:val="restart"/>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自然人</w:t>
            </w:r>
          </w:p>
        </w:tc>
        <w:tc>
          <w:tcPr>
            <w:tcW w:w="3444" w:type="dxa"/>
            <w:gridSpan w:val="5"/>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法人或其他组织</w:t>
            </w:r>
          </w:p>
        </w:tc>
        <w:tc>
          <w:tcPr>
            <w:tcW w:w="690" w:type="dxa"/>
            <w:vMerge w:val="restart"/>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84" w:hRule="atLeast"/>
        </w:trPr>
        <w:tc>
          <w:tcPr>
            <w:tcW w:w="4937" w:type="dxa"/>
            <w:gridSpan w:val="3"/>
            <w:vMerge w:val="continue"/>
            <w:shd w:val="clear" w:color="auto" w:fill="9BC2E6"/>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688" w:type="dxa"/>
            <w:vMerge w:val="continue"/>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688" w:type="dxa"/>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商业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企业</w:t>
            </w:r>
          </w:p>
        </w:tc>
        <w:tc>
          <w:tcPr>
            <w:tcW w:w="688" w:type="dxa"/>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科研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机构</w:t>
            </w:r>
          </w:p>
        </w:tc>
        <w:tc>
          <w:tcPr>
            <w:tcW w:w="688" w:type="dxa"/>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社会公益组织</w:t>
            </w:r>
          </w:p>
        </w:tc>
        <w:tc>
          <w:tcPr>
            <w:tcW w:w="688" w:type="dxa"/>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法律服务机构</w:t>
            </w:r>
          </w:p>
        </w:tc>
        <w:tc>
          <w:tcPr>
            <w:tcW w:w="692" w:type="dxa"/>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其他</w:t>
            </w:r>
          </w:p>
        </w:tc>
        <w:tc>
          <w:tcPr>
            <w:tcW w:w="690" w:type="dxa"/>
            <w:vMerge w:val="continue"/>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一、本年新收政府信息公开申请数量</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11</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二、上年结转政府信息公开申请数量</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restart"/>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三、本年度办理结果</w:t>
            </w:r>
          </w:p>
        </w:tc>
        <w:tc>
          <w:tcPr>
            <w:tcW w:w="4169" w:type="dxa"/>
            <w:gridSpan w:val="2"/>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（一）予以公开</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4</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4169" w:type="dxa"/>
            <w:gridSpan w:val="2"/>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（二）部分公开（区分处理的，只计这一情形，不计其他情形）</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200" w:firstLineChars="100"/>
              <w:jc w:val="both"/>
              <w:textAlignment w:val="auto"/>
              <w:rPr>
                <w:rFonts w:hint="default" w:ascii="Times New Roman" w:hAnsi="Times New Roman" w:eastAsia="宋体" w:cs="Times New Roman"/>
                <w:kern w:val="0"/>
                <w:sz w:val="20"/>
                <w:szCs w:val="20"/>
                <w:lang w:val="en-US" w:eastAsia="zh-CN" w:bidi="ar"/>
              </w:rPr>
            </w:pPr>
            <w:bookmarkStart w:id="0" w:name="_GoBack"/>
            <w:bookmarkEnd w:id="0"/>
            <w:r>
              <w:rPr>
                <w:rFonts w:hint="eastAsia" w:cs="Times New Roman"/>
                <w:kern w:val="0"/>
                <w:sz w:val="20"/>
                <w:szCs w:val="20"/>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（三）不予公开</w:t>
            </w: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1.属于国家秘密</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2.其他法律行政法规禁止公开</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3.危及“三安全一稳定”</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4.保护第三方合法权益</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5.属于三类内部事务信息</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6.属于四类过程性信息</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7.属于行政执法案卷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8.属于行政查询事项</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2</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（四）无法提供</w:t>
            </w: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1.本机关不掌握相关政府信息</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3</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2.没有现成信息需要另行制作</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3.补正后申请内容仍不明确</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（五）不予处理</w:t>
            </w: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1.信访举报投诉类申请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2.重复申请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3.要求提供公开出版物</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4.无正当理由大量反复申请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20"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5.要求行政机关确认或重新出具已获取信息</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8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（六）其他处理</w:t>
            </w:r>
          </w:p>
        </w:tc>
        <w:tc>
          <w:tcPr>
            <w:tcW w:w="322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1.申请人无正当理由逾期不补正、行政机关不再处理其政府信息公开申请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200" w:firstLineChars="100"/>
              <w:jc w:val="both"/>
              <w:textAlignment w:val="auto"/>
              <w:rPr>
                <w:rFonts w:hint="default" w:ascii="Times New Roman" w:hAnsi="Times New Roman" w:cs="Times New Roman"/>
                <w:kern w:val="0"/>
                <w:sz w:val="20"/>
                <w:szCs w:val="20"/>
                <w:lang w:val="en-US" w:eastAsia="zh-CN" w:bidi="ar"/>
              </w:rPr>
            </w:pPr>
            <w:r>
              <w:rPr>
                <w:rFonts w:hint="eastAsia"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8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2.申请人逾期未按收费通知要求缴纳费用、行政机关不再处理其政府信息公开申请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200" w:firstLineChars="100"/>
              <w:jc w:val="both"/>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3.其他</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4169" w:type="dxa"/>
            <w:gridSpan w:val="2"/>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（七）总计</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11</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5" w:hRule="atLeast"/>
        </w:trPr>
        <w:tc>
          <w:tcPr>
            <w:tcW w:w="4937" w:type="dxa"/>
            <w:gridSpan w:val="3"/>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四、结转下年度继续办理</w:t>
            </w:r>
          </w:p>
        </w:tc>
        <w:tc>
          <w:tcPr>
            <w:tcW w:w="688"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88"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r>
    </w:tbl>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黑体" w:cs="Times New Roman"/>
          <w:sz w:val="32"/>
          <w:szCs w:val="32"/>
        </w:rPr>
        <w:t>四、政府信息公开行政复议、行政诉讼情况</w:t>
      </w:r>
    </w:p>
    <w:tbl>
      <w:tblPr>
        <w:tblStyle w:val="7"/>
        <w:tblW w:w="9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9"/>
        <w:gridCol w:w="649"/>
        <w:gridCol w:w="649"/>
        <w:gridCol w:w="649"/>
        <w:gridCol w:w="649"/>
        <w:gridCol w:w="649"/>
        <w:gridCol w:w="649"/>
        <w:gridCol w:w="650"/>
        <w:gridCol w:w="650"/>
        <w:gridCol w:w="650"/>
        <w:gridCol w:w="651"/>
        <w:gridCol w:w="651"/>
        <w:gridCol w:w="651"/>
        <w:gridCol w:w="651"/>
        <w:gridCol w:w="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7" w:hRule="atLeast"/>
        </w:trPr>
        <w:tc>
          <w:tcPr>
            <w:tcW w:w="3245" w:type="dxa"/>
            <w:gridSpan w:val="5"/>
            <w:shd w:val="clear" w:color="auto" w:fill="BDD7EE"/>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行政复议</w:t>
            </w:r>
          </w:p>
        </w:tc>
        <w:tc>
          <w:tcPr>
            <w:tcW w:w="6503" w:type="dxa"/>
            <w:gridSpan w:val="10"/>
            <w:shd w:val="clear" w:color="auto" w:fill="BDD7EE"/>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2" w:hRule="atLeast"/>
        </w:trPr>
        <w:tc>
          <w:tcPr>
            <w:tcW w:w="649" w:type="dxa"/>
            <w:vMerge w:val="restart"/>
            <w:shd w:val="clear" w:color="auto" w:fill="auto"/>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结果维持</w:t>
            </w:r>
          </w:p>
        </w:tc>
        <w:tc>
          <w:tcPr>
            <w:tcW w:w="649" w:type="dxa"/>
            <w:vMerge w:val="restart"/>
            <w:shd w:val="clear" w:color="auto" w:fill="auto"/>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纠正</w:t>
            </w:r>
          </w:p>
        </w:tc>
        <w:tc>
          <w:tcPr>
            <w:tcW w:w="649" w:type="dxa"/>
            <w:vMerge w:val="restart"/>
            <w:shd w:val="clear" w:color="auto" w:fill="auto"/>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其他</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结果</w:t>
            </w:r>
          </w:p>
        </w:tc>
        <w:tc>
          <w:tcPr>
            <w:tcW w:w="649" w:type="dxa"/>
            <w:vMerge w:val="restart"/>
            <w:shd w:val="clear" w:color="auto" w:fill="auto"/>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尚未</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审结</w:t>
            </w:r>
          </w:p>
        </w:tc>
        <w:tc>
          <w:tcPr>
            <w:tcW w:w="649" w:type="dxa"/>
            <w:vMerge w:val="restart"/>
            <w:shd w:val="clear" w:color="auto" w:fill="auto"/>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总计</w:t>
            </w:r>
          </w:p>
        </w:tc>
        <w:tc>
          <w:tcPr>
            <w:tcW w:w="3248" w:type="dxa"/>
            <w:gridSpan w:val="5"/>
            <w:shd w:val="clear" w:color="auto" w:fill="DDEBF7"/>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未经复议直接起诉</w:t>
            </w:r>
          </w:p>
        </w:tc>
        <w:tc>
          <w:tcPr>
            <w:tcW w:w="3255" w:type="dxa"/>
            <w:gridSpan w:val="5"/>
            <w:shd w:val="clear" w:color="auto" w:fill="DDEBF7"/>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复议后起诉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4" w:hRule="atLeast"/>
        </w:trPr>
        <w:tc>
          <w:tcPr>
            <w:tcW w:w="649" w:type="dxa"/>
            <w:vMerge w:val="continue"/>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维持</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纠正</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其他</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结果</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尚未</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审结</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总计</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维持</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纠正</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其他</w:t>
            </w:r>
            <w:r>
              <w:rPr>
                <w:rFonts w:hint="default" w:ascii="Times New Roman" w:hAnsi="Times New Roman" w:eastAsia="宋体" w:cs="Times New Roman"/>
                <w:color w:val="000000"/>
                <w:kern w:val="0"/>
                <w:sz w:val="20"/>
                <w:szCs w:val="20"/>
                <w:lang w:val="en-US" w:eastAsia="zh-CN" w:bidi="ar"/>
              </w:rPr>
              <w:br w:type="textWrapping"/>
            </w:r>
            <w:r>
              <w:rPr>
                <w:rFonts w:hint="default" w:ascii="Times New Roman" w:hAnsi="Times New Roman" w:eastAsia="宋体" w:cs="Times New Roman"/>
                <w:color w:val="000000"/>
                <w:kern w:val="0"/>
                <w:sz w:val="20"/>
                <w:szCs w:val="20"/>
                <w:lang w:val="en-US" w:eastAsia="zh-CN" w:bidi="ar"/>
              </w:rPr>
              <w:t>结果</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尚未</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审结</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2" w:hRule="atLeast"/>
        </w:trPr>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0</w:t>
            </w:r>
          </w:p>
        </w:tc>
      </w:tr>
    </w:tbl>
    <w:p>
      <w:pPr>
        <w:keepNext w:val="0"/>
        <w:keepLines w:val="0"/>
        <w:pageBreakBefore w:val="0"/>
        <w:widowControl/>
        <w:kinsoku/>
        <w:overflowPunct/>
        <w:topLinePunct w:val="0"/>
        <w:autoSpaceDE/>
        <w:autoSpaceDN/>
        <w:bidi w:val="0"/>
        <w:adjustRightInd/>
        <w:snapToGrid/>
        <w:spacing w:line="560" w:lineRule="exact"/>
        <w:ind w:firstLine="672" w:firstLineChars="200"/>
        <w:jc w:val="left"/>
        <w:textAlignment w:val="auto"/>
        <w:rPr>
          <w:rFonts w:hint="default" w:ascii="Times New Roman" w:hAnsi="Times New Roman" w:cs="Times New Roman"/>
          <w:spacing w:val="8"/>
          <w:kern w:val="0"/>
          <w:sz w:val="24"/>
        </w:rPr>
      </w:pPr>
      <w:r>
        <w:rPr>
          <w:rFonts w:hint="default" w:ascii="Times New Roman" w:hAnsi="Times New Roman" w:eastAsia="黑体" w:cs="Times New Roman"/>
          <w:spacing w:val="8"/>
          <w:kern w:val="0"/>
          <w:sz w:val="32"/>
          <w:szCs w:val="32"/>
        </w:rPr>
        <w:t>五、存在的主要问题及改进情况</w:t>
      </w:r>
    </w:p>
    <w:p>
      <w:pPr>
        <w:numPr>
          <w:ilvl w:val="0"/>
          <w:numId w:val="0"/>
        </w:numPr>
        <w:ind w:firstLine="640" w:firstLineChars="200"/>
        <w:jc w:val="left"/>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202</w:t>
      </w:r>
      <w:r>
        <w:rPr>
          <w:rFonts w:hint="eastAsia" w:ascii="仿宋_GB2312" w:hAnsi="仿宋_GB2312" w:eastAsia="仿宋_GB2312" w:cs="仿宋_GB2312"/>
          <w:b w:val="0"/>
          <w:bCs w:val="0"/>
          <w:kern w:val="2"/>
          <w:sz w:val="32"/>
          <w:szCs w:val="32"/>
          <w:lang w:val="en-US" w:eastAsia="zh-CN" w:bidi="ar-SA"/>
        </w:rPr>
        <w:t>5</w:t>
      </w:r>
      <w:r>
        <w:rPr>
          <w:rFonts w:hint="default" w:ascii="仿宋_GB2312" w:hAnsi="仿宋_GB2312" w:eastAsia="仿宋_GB2312" w:cs="仿宋_GB2312"/>
          <w:b w:val="0"/>
          <w:bCs w:val="0"/>
          <w:kern w:val="2"/>
          <w:sz w:val="32"/>
          <w:szCs w:val="32"/>
          <w:lang w:val="en-US" w:eastAsia="zh-CN" w:bidi="ar-SA"/>
        </w:rPr>
        <w:t>年，在局党委的坚强领导下，我局政府信息公开工作取得了一定成绩，但也存在着一些问题：一是政府信息公开的形式存在不够丰富、公众参与度不高的短板；</w:t>
      </w:r>
      <w:r>
        <w:rPr>
          <w:rFonts w:hint="eastAsia" w:ascii="仿宋_GB2312" w:hAnsi="仿宋_GB2312" w:eastAsia="仿宋_GB2312" w:cs="仿宋_GB2312"/>
          <w:b w:val="0"/>
          <w:bCs w:val="0"/>
          <w:kern w:val="2"/>
          <w:sz w:val="32"/>
          <w:szCs w:val="32"/>
          <w:lang w:val="en-US" w:eastAsia="zh-CN" w:bidi="ar-SA"/>
        </w:rPr>
        <w:t>二</w:t>
      </w:r>
      <w:r>
        <w:rPr>
          <w:rFonts w:hint="default" w:ascii="仿宋_GB2312" w:hAnsi="仿宋_GB2312" w:eastAsia="仿宋_GB2312" w:cs="仿宋_GB2312"/>
          <w:b w:val="0"/>
          <w:bCs w:val="0"/>
          <w:kern w:val="2"/>
          <w:sz w:val="32"/>
          <w:szCs w:val="32"/>
          <w:lang w:val="en-US" w:eastAsia="zh-CN" w:bidi="ar-SA"/>
        </w:rPr>
        <w:t>是信息公开专岗人员业务能力需进一步提升。</w:t>
      </w:r>
    </w:p>
    <w:p>
      <w:pPr>
        <w:numPr>
          <w:ilvl w:val="0"/>
          <w:numId w:val="0"/>
        </w:numPr>
        <w:ind w:firstLine="640" w:firstLineChars="200"/>
        <w:jc w:val="left"/>
        <w:rPr>
          <w:rFonts w:hint="default" w:ascii="Times New Roman" w:hAnsi="Times New Roman" w:eastAsia="仿宋_GB2312" w:cs="Times New Roman"/>
          <w:b w:val="0"/>
          <w:bCs w:val="0"/>
          <w:color w:val="auto"/>
          <w:spacing w:val="8"/>
          <w:kern w:val="0"/>
          <w:sz w:val="32"/>
          <w:szCs w:val="32"/>
          <w:lang w:val="en-US" w:eastAsia="zh-CN"/>
        </w:rPr>
      </w:pPr>
      <w:r>
        <w:rPr>
          <w:rFonts w:hint="default" w:ascii="仿宋_GB2312" w:hAnsi="仿宋_GB2312" w:eastAsia="仿宋_GB2312" w:cs="仿宋_GB2312"/>
          <w:b w:val="0"/>
          <w:bCs w:val="0"/>
          <w:kern w:val="2"/>
          <w:sz w:val="32"/>
          <w:szCs w:val="32"/>
          <w:lang w:val="en-US" w:eastAsia="zh-CN" w:bidi="ar-SA"/>
        </w:rPr>
        <w:t>下一步，我局将着力开展以下几个方面进一步改进和完善政府信息公开工作：一是加大对工作内容、成果和存在问题等方面的公开力度，提升工作的透明度。二是充分利用各种宣传载体，进一步加强政府信息公开工作的互动性和群众参与性，营造更加良好、和谐的警民关系。三是</w:t>
      </w:r>
      <w:r>
        <w:rPr>
          <w:rFonts w:hint="eastAsia" w:ascii="仿宋_GB2312" w:hAnsi="仿宋_GB2312" w:eastAsia="仿宋_GB2312" w:cs="仿宋_GB2312"/>
          <w:b w:val="0"/>
          <w:bCs w:val="0"/>
          <w:kern w:val="2"/>
          <w:sz w:val="32"/>
          <w:szCs w:val="32"/>
          <w:lang w:val="en-US" w:eastAsia="zh-CN" w:bidi="ar-SA"/>
        </w:rPr>
        <w:t>加强</w:t>
      </w:r>
      <w:r>
        <w:rPr>
          <w:rFonts w:hint="default" w:ascii="仿宋_GB2312" w:hAnsi="仿宋_GB2312" w:eastAsia="仿宋_GB2312" w:cs="仿宋_GB2312"/>
          <w:b w:val="0"/>
          <w:bCs w:val="0"/>
          <w:kern w:val="2"/>
          <w:sz w:val="32"/>
          <w:szCs w:val="32"/>
          <w:lang w:val="en-US" w:eastAsia="zh-CN" w:bidi="ar-SA"/>
        </w:rPr>
        <w:t>信息公开专岗人员业务能力</w:t>
      </w:r>
      <w:r>
        <w:rPr>
          <w:rFonts w:hint="eastAsia" w:ascii="仿宋_GB2312" w:hAnsi="仿宋_GB2312" w:eastAsia="仿宋_GB2312" w:cs="仿宋_GB2312"/>
          <w:b w:val="0"/>
          <w:bCs w:val="0"/>
          <w:kern w:val="2"/>
          <w:sz w:val="32"/>
          <w:szCs w:val="32"/>
          <w:lang w:val="en-US" w:eastAsia="zh-CN" w:bidi="ar-SA"/>
        </w:rPr>
        <w:t>培训，特别是针对派出机构信息公开负责人员培训，提升我局信息公开队伍整体能力水平</w:t>
      </w:r>
      <w:r>
        <w:rPr>
          <w:rFonts w:hint="default" w:ascii="仿宋_GB2312" w:hAnsi="仿宋_GB2312" w:eastAsia="仿宋_GB2312" w:cs="仿宋_GB2312"/>
          <w:b w:val="0"/>
          <w:bCs w:val="0"/>
          <w:kern w:val="2"/>
          <w:sz w:val="32"/>
          <w:szCs w:val="32"/>
          <w:lang w:val="en-US" w:eastAsia="zh-CN" w:bidi="ar-SA"/>
        </w:rPr>
        <w:t>。</w:t>
      </w:r>
    </w:p>
    <w:p>
      <w:pPr>
        <w:widowControl/>
        <w:spacing w:line="560" w:lineRule="exact"/>
        <w:ind w:firstLine="672" w:firstLineChars="200"/>
        <w:jc w:val="left"/>
        <w:rPr>
          <w:rFonts w:hint="default" w:ascii="Times New Roman" w:hAnsi="Times New Roman" w:cs="Times New Roman"/>
          <w:spacing w:val="8"/>
          <w:kern w:val="0"/>
          <w:sz w:val="32"/>
          <w:szCs w:val="32"/>
        </w:rPr>
      </w:pPr>
      <w:r>
        <w:rPr>
          <w:rFonts w:hint="default" w:ascii="Times New Roman" w:hAnsi="Times New Roman" w:eastAsia="黑体" w:cs="Times New Roman"/>
          <w:spacing w:val="8"/>
          <w:kern w:val="0"/>
          <w:sz w:val="32"/>
          <w:szCs w:val="32"/>
        </w:rPr>
        <w:t>六、其他需要报告的事项</w:t>
      </w:r>
    </w:p>
    <w:p>
      <w:pPr>
        <w:numPr>
          <w:ilvl w:val="0"/>
          <w:numId w:val="0"/>
        </w:numPr>
        <w:ind w:firstLine="640" w:firstLineChars="200"/>
        <w:jc w:val="left"/>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202</w:t>
      </w:r>
      <w:r>
        <w:rPr>
          <w:rFonts w:hint="eastAsia" w:ascii="仿宋_GB2312" w:hAnsi="仿宋_GB2312" w:eastAsia="仿宋_GB2312" w:cs="仿宋_GB2312"/>
          <w:b w:val="0"/>
          <w:bCs w:val="0"/>
          <w:kern w:val="2"/>
          <w:sz w:val="32"/>
          <w:szCs w:val="32"/>
          <w:lang w:val="en-US" w:eastAsia="zh-CN" w:bidi="ar-SA"/>
        </w:rPr>
        <w:t>5</w:t>
      </w:r>
      <w:r>
        <w:rPr>
          <w:rFonts w:hint="default" w:ascii="仿宋_GB2312" w:hAnsi="仿宋_GB2312" w:eastAsia="仿宋_GB2312" w:cs="仿宋_GB2312"/>
          <w:b w:val="0"/>
          <w:bCs w:val="0"/>
          <w:kern w:val="2"/>
          <w:sz w:val="32"/>
          <w:szCs w:val="32"/>
          <w:lang w:val="en-US" w:eastAsia="zh-CN" w:bidi="ar-SA"/>
        </w:rPr>
        <w:t>年，我局办理的政府信息公开申请中，没有收取信息处理费的情况，发出收费通知的件数和总金额以及实际收取的总金额均为0。</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outlineLvl w:val="9"/>
        <w:rPr>
          <w:rFonts w:hint="default" w:ascii="Times New Roman" w:hAnsi="Times New Roman" w:cs="Times New Roman"/>
        </w:rPr>
      </w:pPr>
      <w:r>
        <w:rPr>
          <w:rFonts w:hint="default" w:ascii="Times New Roman" w:hAnsi="Times New Roman" w:eastAsia="仿宋_GB2312" w:cs="Times New Roman"/>
          <w:sz w:val="32"/>
          <w:szCs w:val="32"/>
          <w:lang w:val="en-US" w:eastAsia="zh-CN"/>
        </w:rPr>
        <w:t>如需了解更多政府信息，请登录北京市公安局</w:t>
      </w:r>
      <w:r>
        <w:rPr>
          <w:rFonts w:hint="eastAsia" w:ascii="Times New Roman" w:hAnsi="Times New Roman" w:eastAsia="仿宋_GB2312" w:cs="Times New Roman"/>
          <w:sz w:val="32"/>
          <w:szCs w:val="32"/>
          <w:lang w:val="en-US" w:eastAsia="zh-CN"/>
        </w:rPr>
        <w:t>门户</w:t>
      </w:r>
      <w:r>
        <w:rPr>
          <w:rFonts w:hint="default" w:ascii="Times New Roman" w:hAnsi="Times New Roman" w:eastAsia="仿宋_GB2312" w:cs="Times New Roman"/>
          <w:sz w:val="32"/>
          <w:szCs w:val="32"/>
          <w:lang w:val="en-US" w:eastAsia="zh-CN"/>
        </w:rPr>
        <w:t>网站查询（网址:http://gaj.beijing.gov.cn/）。</w:t>
      </w:r>
    </w:p>
    <w:p>
      <w:pPr>
        <w:pStyle w:val="3"/>
        <w:spacing w:line="560" w:lineRule="exact"/>
        <w:ind w:firstLine="3846" w:firstLineChars="1202"/>
        <w:rPr>
          <w:rFonts w:hint="eastAsia" w:ascii="Times New Roman" w:hAnsi="Times New Roman" w:eastAsia="仿宋_GB2312" w:cs="Times New Roman"/>
          <w:kern w:val="2"/>
          <w:sz w:val="32"/>
          <w:szCs w:val="32"/>
          <w:lang w:val="en-US" w:eastAsia="zh-CN" w:bidi="ar-SA"/>
        </w:rPr>
      </w:pPr>
    </w:p>
    <w:p>
      <w:pPr>
        <w:pStyle w:val="3"/>
        <w:spacing w:line="560" w:lineRule="exact"/>
        <w:rPr>
          <w:rFonts w:hint="default" w:ascii="Times New Roman" w:hAnsi="Times New Roman" w:eastAsia="仿宋_GB2312" w:cs="Times New Roman"/>
          <w:color w:val="auto"/>
          <w:spacing w:val="8"/>
          <w:kern w:val="0"/>
          <w:sz w:val="32"/>
          <w:szCs w:val="32"/>
          <w:lang w:val="en-US" w:eastAsia="zh-CN"/>
        </w:rPr>
      </w:pPr>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064843"/>
    <w:rsid w:val="0097134A"/>
    <w:rsid w:val="00E66107"/>
    <w:rsid w:val="02021573"/>
    <w:rsid w:val="025508B1"/>
    <w:rsid w:val="03064247"/>
    <w:rsid w:val="031B6CBC"/>
    <w:rsid w:val="04F7267C"/>
    <w:rsid w:val="05AE2C2F"/>
    <w:rsid w:val="05D82A38"/>
    <w:rsid w:val="06945E91"/>
    <w:rsid w:val="06A94E76"/>
    <w:rsid w:val="07064843"/>
    <w:rsid w:val="070B051A"/>
    <w:rsid w:val="080D3EA4"/>
    <w:rsid w:val="08360851"/>
    <w:rsid w:val="08466CD8"/>
    <w:rsid w:val="08AB53EF"/>
    <w:rsid w:val="0A7722BB"/>
    <w:rsid w:val="0BEF7DA3"/>
    <w:rsid w:val="0C9B71A1"/>
    <w:rsid w:val="0CB818E5"/>
    <w:rsid w:val="0D005C9A"/>
    <w:rsid w:val="0DD65D5B"/>
    <w:rsid w:val="0E921F36"/>
    <w:rsid w:val="0E991F00"/>
    <w:rsid w:val="0EA531F2"/>
    <w:rsid w:val="0F78156E"/>
    <w:rsid w:val="10052457"/>
    <w:rsid w:val="103B6CF4"/>
    <w:rsid w:val="10653EE7"/>
    <w:rsid w:val="10D2321D"/>
    <w:rsid w:val="11D95EC3"/>
    <w:rsid w:val="123A729C"/>
    <w:rsid w:val="12A86203"/>
    <w:rsid w:val="13FD185E"/>
    <w:rsid w:val="140C40B5"/>
    <w:rsid w:val="141C7A70"/>
    <w:rsid w:val="144632A2"/>
    <w:rsid w:val="159B4485"/>
    <w:rsid w:val="15C75E4B"/>
    <w:rsid w:val="15D41910"/>
    <w:rsid w:val="16B001C4"/>
    <w:rsid w:val="172E0C15"/>
    <w:rsid w:val="186F1133"/>
    <w:rsid w:val="1A40124F"/>
    <w:rsid w:val="1A430F0E"/>
    <w:rsid w:val="1A865494"/>
    <w:rsid w:val="1AE74117"/>
    <w:rsid w:val="1C045E35"/>
    <w:rsid w:val="1C6C04CA"/>
    <w:rsid w:val="1CB05352"/>
    <w:rsid w:val="1CC1153B"/>
    <w:rsid w:val="1D485494"/>
    <w:rsid w:val="1E8F090C"/>
    <w:rsid w:val="1EA57152"/>
    <w:rsid w:val="1EEA148E"/>
    <w:rsid w:val="1FC1713F"/>
    <w:rsid w:val="1FE0543C"/>
    <w:rsid w:val="221435F7"/>
    <w:rsid w:val="223E5C00"/>
    <w:rsid w:val="22FC285E"/>
    <w:rsid w:val="2377293A"/>
    <w:rsid w:val="24493596"/>
    <w:rsid w:val="249230C0"/>
    <w:rsid w:val="253F149B"/>
    <w:rsid w:val="258B4B14"/>
    <w:rsid w:val="27A8279B"/>
    <w:rsid w:val="27E17D4F"/>
    <w:rsid w:val="28F06383"/>
    <w:rsid w:val="28F10224"/>
    <w:rsid w:val="29EC14E6"/>
    <w:rsid w:val="2A4A25DB"/>
    <w:rsid w:val="2A4A5718"/>
    <w:rsid w:val="2B616CC3"/>
    <w:rsid w:val="2B7C17C7"/>
    <w:rsid w:val="2DF2170C"/>
    <w:rsid w:val="2E665F07"/>
    <w:rsid w:val="2ED928DE"/>
    <w:rsid w:val="2F613DE5"/>
    <w:rsid w:val="2F9B0EAA"/>
    <w:rsid w:val="3000733F"/>
    <w:rsid w:val="300C7C22"/>
    <w:rsid w:val="30873DBA"/>
    <w:rsid w:val="31771735"/>
    <w:rsid w:val="318A3C88"/>
    <w:rsid w:val="31B74159"/>
    <w:rsid w:val="31DD6D46"/>
    <w:rsid w:val="32223D4C"/>
    <w:rsid w:val="323958BD"/>
    <w:rsid w:val="323D0625"/>
    <w:rsid w:val="32DE0D13"/>
    <w:rsid w:val="32E65826"/>
    <w:rsid w:val="335D100E"/>
    <w:rsid w:val="339552E3"/>
    <w:rsid w:val="345D2CAC"/>
    <w:rsid w:val="352F6D8C"/>
    <w:rsid w:val="356506D1"/>
    <w:rsid w:val="370A3057"/>
    <w:rsid w:val="37EC1BEA"/>
    <w:rsid w:val="38C77900"/>
    <w:rsid w:val="3B085B67"/>
    <w:rsid w:val="3B777FC7"/>
    <w:rsid w:val="3BAD7055"/>
    <w:rsid w:val="3BF72EF2"/>
    <w:rsid w:val="3BFB5C68"/>
    <w:rsid w:val="3BFF26A5"/>
    <w:rsid w:val="3C520AFD"/>
    <w:rsid w:val="3D1C40C7"/>
    <w:rsid w:val="3D51450B"/>
    <w:rsid w:val="3DB30746"/>
    <w:rsid w:val="3E1A1F67"/>
    <w:rsid w:val="3E422FB2"/>
    <w:rsid w:val="3FFC3A40"/>
    <w:rsid w:val="40AD2B03"/>
    <w:rsid w:val="40B065AF"/>
    <w:rsid w:val="41DB7AA1"/>
    <w:rsid w:val="42C47BFE"/>
    <w:rsid w:val="4334665E"/>
    <w:rsid w:val="43D66F13"/>
    <w:rsid w:val="45932A5D"/>
    <w:rsid w:val="45AA340A"/>
    <w:rsid w:val="476C77E2"/>
    <w:rsid w:val="48A72E1D"/>
    <w:rsid w:val="48B45DB9"/>
    <w:rsid w:val="48DA2C3F"/>
    <w:rsid w:val="4A0B7FAA"/>
    <w:rsid w:val="4ACE1548"/>
    <w:rsid w:val="4B365104"/>
    <w:rsid w:val="4C203473"/>
    <w:rsid w:val="4C7707D9"/>
    <w:rsid w:val="4CF43E43"/>
    <w:rsid w:val="4D623CD7"/>
    <w:rsid w:val="4FAC6D86"/>
    <w:rsid w:val="503150CC"/>
    <w:rsid w:val="510338D3"/>
    <w:rsid w:val="516739DF"/>
    <w:rsid w:val="522B7251"/>
    <w:rsid w:val="526775DD"/>
    <w:rsid w:val="52C0615A"/>
    <w:rsid w:val="53FF00DB"/>
    <w:rsid w:val="54F34531"/>
    <w:rsid w:val="57624524"/>
    <w:rsid w:val="59814544"/>
    <w:rsid w:val="59E330EF"/>
    <w:rsid w:val="5A2A18F9"/>
    <w:rsid w:val="5A3B1A93"/>
    <w:rsid w:val="5A9E21B8"/>
    <w:rsid w:val="5B140B9E"/>
    <w:rsid w:val="5C566C8D"/>
    <w:rsid w:val="5D634C06"/>
    <w:rsid w:val="5D6D64A7"/>
    <w:rsid w:val="5DCD4B7F"/>
    <w:rsid w:val="5E844102"/>
    <w:rsid w:val="5F3F776A"/>
    <w:rsid w:val="60A83BD1"/>
    <w:rsid w:val="617A4F98"/>
    <w:rsid w:val="636F3F96"/>
    <w:rsid w:val="643519F5"/>
    <w:rsid w:val="64FB5CC9"/>
    <w:rsid w:val="65510D5D"/>
    <w:rsid w:val="65F5051D"/>
    <w:rsid w:val="66225DFA"/>
    <w:rsid w:val="66613945"/>
    <w:rsid w:val="66796015"/>
    <w:rsid w:val="6713423D"/>
    <w:rsid w:val="679D6194"/>
    <w:rsid w:val="67A0353B"/>
    <w:rsid w:val="693D3A6F"/>
    <w:rsid w:val="6A0905EA"/>
    <w:rsid w:val="6A5807B7"/>
    <w:rsid w:val="6A7054AD"/>
    <w:rsid w:val="6BF31C12"/>
    <w:rsid w:val="6D5A326E"/>
    <w:rsid w:val="6D8B405B"/>
    <w:rsid w:val="6E555551"/>
    <w:rsid w:val="6E5B722C"/>
    <w:rsid w:val="6ED53D6E"/>
    <w:rsid w:val="6EFE2FCC"/>
    <w:rsid w:val="6F0D385E"/>
    <w:rsid w:val="6F586CCB"/>
    <w:rsid w:val="6FD43B85"/>
    <w:rsid w:val="708A0698"/>
    <w:rsid w:val="70CF1C31"/>
    <w:rsid w:val="71ED7DDF"/>
    <w:rsid w:val="721553B9"/>
    <w:rsid w:val="72491F3F"/>
    <w:rsid w:val="73E23891"/>
    <w:rsid w:val="747A351A"/>
    <w:rsid w:val="747F3BE4"/>
    <w:rsid w:val="74BB3004"/>
    <w:rsid w:val="7565F4EA"/>
    <w:rsid w:val="76CE5FA8"/>
    <w:rsid w:val="7AE6620F"/>
    <w:rsid w:val="7BC6327C"/>
    <w:rsid w:val="7BF229DE"/>
    <w:rsid w:val="7BFE6641"/>
    <w:rsid w:val="7CC0123A"/>
    <w:rsid w:val="7CE80204"/>
    <w:rsid w:val="7ED96F8E"/>
    <w:rsid w:val="7EF04590"/>
    <w:rsid w:val="7F284EAC"/>
    <w:rsid w:val="7F5B328E"/>
    <w:rsid w:val="7FF76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index 1"/>
    <w:basedOn w:val="1"/>
    <w:next w:val="1"/>
    <w:semiHidden/>
    <w:qFormat/>
    <w:uiPriority w:val="0"/>
    <w:pPr>
      <w:ind w:firstLine="640" w:firstLineChars="200"/>
    </w:pPr>
    <w:rPr>
      <w:rFonts w:ascii="楷体_GB2312" w:eastAsia="楷体_GB2312" w:cs="仿宋_GB2312"/>
      <w:szCs w:val="32"/>
    </w:r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2290</Words>
  <Characters>2449</Characters>
  <Lines>0</Lines>
  <Paragraphs>0</Paragraphs>
  <TotalTime>0</TotalTime>
  <ScaleCrop>false</ScaleCrop>
  <LinksUpToDate>false</LinksUpToDate>
  <CharactersWithSpaces>2463</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2022-12-31T01:29:00Z</dcterms:created>
  <dc:creator>张茜婷</dc:creator>
  <cp:lastModifiedBy>Administrator</cp:lastModifiedBy>
  <cp:lastPrinted>2026-01-12T03:27:00Z</cp:lastPrinted>
  <dcterms:modified xsi:type="dcterms:W3CDTF">2026-01-20T07:14:22Z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KSOTemplateDocerSaveRecord">
    <vt:lpwstr>eyJoZGlkIjoiNWM5NTJhZjE3N2U3NGQxZDEwNWZkOTAxYjY1NzAzNjQifQ==</vt:lpwstr>
  </property>
  <property fmtid="{D5CDD505-2E9C-101B-9397-08002B2CF9AE}" pid="4" name="ICV">
    <vt:lpwstr>BED0FB2D4C1E47ACBCC8BA3CDA7EA1B7_12</vt:lpwstr>
  </property>
</Properties>
</file>