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北京市公安局顺义分局</w:t>
      </w:r>
    </w:p>
    <w:p>
      <w:pPr>
        <w:spacing w:line="560" w:lineRule="exact"/>
        <w:jc w:val="center"/>
        <w:rPr>
          <w:rFonts w:ascii="仿宋_GB2312" w:hAnsi="仿宋_GB2312" w:eastAsia="仿宋_GB2312" w:cs="仿宋_GB2312"/>
          <w:sz w:val="32"/>
          <w:szCs w:val="32"/>
        </w:rPr>
      </w:pPr>
      <w:r>
        <w:rPr>
          <w:rFonts w:hint="eastAsia" w:ascii="方正小标宋简体" w:hAnsi="方正小标宋简体" w:eastAsia="方正小标宋简体" w:cs="方正小标宋简体"/>
          <w:bCs/>
          <w:sz w:val="44"/>
          <w:szCs w:val="44"/>
        </w:rPr>
        <w:t>202</w:t>
      </w:r>
      <w:r>
        <w:rPr>
          <w:rFonts w:hint="eastAsia" w:ascii="方正小标宋简体" w:hAnsi="方正小标宋简体" w:eastAsia="方正小标宋简体" w:cs="方正小标宋简体"/>
          <w:bCs/>
          <w:sz w:val="44"/>
          <w:szCs w:val="44"/>
          <w:lang w:val="en-US" w:eastAsia="zh-CN"/>
        </w:rPr>
        <w:t>5</w:t>
      </w:r>
      <w:r>
        <w:rPr>
          <w:rFonts w:hint="eastAsia" w:ascii="方正小标宋简体" w:hAnsi="方正小标宋简体" w:eastAsia="方正小标宋简体" w:cs="方正小标宋简体"/>
          <w:bCs/>
          <w:sz w:val="44"/>
          <w:szCs w:val="44"/>
        </w:rPr>
        <w:t>年政府信息公开工作年度报告</w:t>
      </w:r>
    </w:p>
    <w:p>
      <w:pPr>
        <w:spacing w:line="560" w:lineRule="exact"/>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依据《中华人民共和国政府信息公开条例》（以下简称《政府信息公开条例》）第五十条规定，编制本报告。</w:t>
      </w:r>
    </w:p>
    <w:p>
      <w:pPr>
        <w:spacing w:line="560" w:lineRule="exact"/>
        <w:ind w:firstLine="627" w:firstLineChars="196"/>
        <w:rPr>
          <w:rFonts w:ascii="黑体" w:hAnsi="黑体" w:eastAsia="黑体" w:cs="黑体"/>
          <w:bCs/>
          <w:sz w:val="32"/>
          <w:szCs w:val="32"/>
        </w:rPr>
      </w:pPr>
      <w:r>
        <w:rPr>
          <w:rFonts w:hint="eastAsia" w:ascii="黑体" w:hAnsi="黑体" w:eastAsia="黑体" w:cs="黑体"/>
          <w:bCs/>
          <w:sz w:val="32"/>
          <w:szCs w:val="32"/>
        </w:rPr>
        <w:t>一、总体情况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年，北京市公安局顺义分局坚持以习近平新时代中国特色社会主义思想为指导，深入贯彻习近平法治思想，全面落实党中央、国务院、市委、市政府和区委、区政府</w:t>
      </w:r>
      <w:r>
        <w:rPr>
          <w:rFonts w:hint="eastAsia" w:ascii="仿宋_GB2312" w:hAnsi="仿宋_GB2312" w:eastAsia="仿宋_GB2312" w:cs="仿宋_GB2312"/>
          <w:sz w:val="32"/>
          <w:szCs w:val="32"/>
          <w:lang w:eastAsia="zh-CN"/>
        </w:rPr>
        <w:t>关于政府信息</w:t>
      </w:r>
      <w:r>
        <w:rPr>
          <w:rFonts w:hint="eastAsia" w:ascii="仿宋_GB2312" w:hAnsi="仿宋_GB2312" w:eastAsia="仿宋_GB2312" w:cs="仿宋_GB2312"/>
          <w:sz w:val="32"/>
          <w:szCs w:val="32"/>
        </w:rPr>
        <w:t>公开工作部署，深入贯彻</w:t>
      </w:r>
      <w:r>
        <w:rPr>
          <w:rFonts w:hint="eastAsia" w:ascii="仿宋_GB2312" w:hAnsi="仿宋_GB2312" w:eastAsia="仿宋_GB2312" w:cs="仿宋_GB2312"/>
          <w:sz w:val="32"/>
          <w:szCs w:val="32"/>
          <w:lang w:eastAsia="zh-CN"/>
        </w:rPr>
        <w:t>落实</w:t>
      </w:r>
      <w:r>
        <w:rPr>
          <w:rFonts w:hint="eastAsia" w:ascii="仿宋_GB2312" w:hAnsi="仿宋_GB2312" w:eastAsia="仿宋_GB2312" w:cs="仿宋_GB2312"/>
          <w:sz w:val="32"/>
          <w:szCs w:val="32"/>
        </w:rPr>
        <w:t>《政府信息公开条例》，不断完善制度规范，加强回应力度，以公开促落实、促规范、促服务，切实增强人民群众满意度、获得感，切实推动顺义分局政府信息公开工作取得新进展。</w:t>
      </w:r>
    </w:p>
    <w:p>
      <w:pPr>
        <w:numPr>
          <w:ilvl w:val="0"/>
          <w:numId w:val="1"/>
        </w:numPr>
        <w:spacing w:line="560" w:lineRule="exact"/>
        <w:ind w:firstLine="643" w:firstLineChars="200"/>
        <w:rPr>
          <w:rFonts w:hint="eastAsia" w:ascii="楷体_GB2312" w:hAnsi="楷体_GB2312" w:eastAsia="楷体_GB2312" w:cs="楷体_GB2312"/>
          <w:b/>
          <w:bCs/>
          <w:sz w:val="32"/>
          <w:szCs w:val="32"/>
          <w:lang w:eastAsia="zh-CN"/>
        </w:rPr>
      </w:pPr>
      <w:r>
        <w:rPr>
          <w:rFonts w:hint="eastAsia" w:ascii="楷体_GB2312" w:hAnsi="楷体_GB2312" w:eastAsia="楷体_GB2312" w:cs="楷体_GB2312"/>
          <w:b/>
          <w:bCs/>
          <w:sz w:val="32"/>
          <w:szCs w:val="32"/>
          <w:lang w:eastAsia="zh-CN"/>
        </w:rPr>
        <w:t>组织领导</w:t>
      </w:r>
    </w:p>
    <w:p>
      <w:pPr>
        <w:numPr>
          <w:ilvl w:val="0"/>
          <w:numId w:val="0"/>
        </w:numPr>
        <w:spacing w:line="560" w:lineRule="exact"/>
        <w:ind w:firstLine="640" w:firstLineChars="200"/>
        <w:rPr>
          <w:rFonts w:hint="eastAsia" w:eastAsia="仿宋_GB2312"/>
          <w:lang w:eastAsia="zh-CN"/>
        </w:rPr>
      </w:pP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年，我局强化组织保障，由分局主管领导统筹开展分局政府信息公开工作，各职能部门和基层所队主要领导为本单位政府信息公开工作的第一责任人，对政府信息公开工作制定了工作计划，规范了工作制度，确保政府信息公开工作顺利推进。</w:t>
      </w:r>
    </w:p>
    <w:p>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二</w:t>
      </w:r>
      <w:r>
        <w:rPr>
          <w:rFonts w:hint="eastAsia" w:ascii="楷体_GB2312" w:hAnsi="楷体_GB2312" w:eastAsia="楷体_GB2312" w:cs="楷体_GB2312"/>
          <w:b/>
          <w:bCs/>
          <w:sz w:val="32"/>
          <w:szCs w:val="32"/>
        </w:rPr>
        <w:t>）主动公开情况</w:t>
      </w:r>
    </w:p>
    <w:p>
      <w:pPr>
        <w:spacing w:line="560" w:lineRule="exact"/>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color w:val="auto"/>
          <w:sz w:val="32"/>
          <w:szCs w:val="32"/>
        </w:rPr>
        <w:t>顺义分局坚持以人民需求为导向，进一步加大政府信息主动公开力度，充分发挥合力、广泛利用阵地、积极开展宣传，取得了良好的社会效果。全年在《人民公安报》、《新华社》、《人民号》、《北京青年报》、《法治进行时》、顺义电视台等45家市级、区级主流媒体共刊发我局相关报道257篇。微博、微信、抖音平台粉丝总量达10.6万，发布资讯近1000件，原创视频82期，单条最高播放量19万次。</w:t>
      </w:r>
    </w:p>
    <w:p>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三</w:t>
      </w:r>
      <w:r>
        <w:rPr>
          <w:rFonts w:hint="eastAsia" w:ascii="楷体_GB2312" w:hAnsi="楷体_GB2312" w:eastAsia="楷体_GB2312" w:cs="楷体_GB2312"/>
          <w:b/>
          <w:bCs/>
          <w:sz w:val="32"/>
          <w:szCs w:val="32"/>
        </w:rPr>
        <w:t>）依申请公开情况</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年，顺义分局接收政府信息公开申请</w:t>
      </w:r>
      <w:r>
        <w:rPr>
          <w:rFonts w:hint="eastAsia" w:ascii="仿宋_GB2312" w:hAnsi="仿宋_GB2312" w:eastAsia="仿宋_GB2312" w:cs="仿宋_GB2312"/>
          <w:sz w:val="32"/>
          <w:szCs w:val="32"/>
          <w:highlight w:val="none"/>
          <w:lang w:val="en-US" w:eastAsia="zh-CN"/>
        </w:rPr>
        <w:t>24</w:t>
      </w:r>
      <w:r>
        <w:rPr>
          <w:rFonts w:hint="eastAsia" w:ascii="仿宋_GB2312" w:hAnsi="仿宋_GB2312" w:eastAsia="仿宋_GB2312" w:cs="仿宋_GB2312"/>
          <w:sz w:val="32"/>
          <w:szCs w:val="32"/>
          <w:highlight w:val="none"/>
        </w:rPr>
        <w:t>件，办结</w:t>
      </w:r>
      <w:r>
        <w:rPr>
          <w:rFonts w:hint="eastAsia" w:ascii="仿宋_GB2312" w:hAnsi="仿宋_GB2312" w:eastAsia="仿宋_GB2312" w:cs="仿宋_GB2312"/>
          <w:sz w:val="32"/>
          <w:szCs w:val="32"/>
          <w:highlight w:val="none"/>
          <w:lang w:val="en-US" w:eastAsia="zh-CN"/>
        </w:rPr>
        <w:t>23件</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在已办结的申请中</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“予以公开”</w:t>
      </w:r>
      <w:r>
        <w:rPr>
          <w:rFonts w:hint="eastAsia" w:ascii="仿宋_GB2312" w:hAnsi="仿宋_GB2312" w:eastAsia="仿宋_GB2312" w:cs="仿宋_GB2312"/>
          <w:sz w:val="32"/>
          <w:szCs w:val="32"/>
          <w:highlight w:val="none"/>
          <w:lang w:val="en-US" w:eastAsia="zh-CN"/>
        </w:rPr>
        <w:t>8件</w:t>
      </w:r>
      <w:r>
        <w:rPr>
          <w:rFonts w:hint="eastAsia" w:ascii="仿宋_GB2312" w:hAnsi="仿宋_GB2312" w:eastAsia="仿宋_GB2312" w:cs="仿宋_GB2312"/>
          <w:sz w:val="32"/>
          <w:szCs w:val="32"/>
          <w:highlight w:val="none"/>
        </w:rPr>
        <w:t>，占总数的</w:t>
      </w:r>
      <w:r>
        <w:rPr>
          <w:rFonts w:hint="eastAsia" w:ascii="仿宋_GB2312" w:hAnsi="仿宋_GB2312" w:eastAsia="仿宋_GB2312" w:cs="仿宋_GB2312"/>
          <w:sz w:val="32"/>
          <w:szCs w:val="32"/>
          <w:highlight w:val="none"/>
          <w:lang w:val="en-US" w:eastAsia="zh-CN"/>
        </w:rPr>
        <w:t>34.8</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部分</w:t>
      </w:r>
      <w:r>
        <w:rPr>
          <w:rFonts w:hint="eastAsia" w:ascii="仿宋_GB2312" w:hAnsi="仿宋_GB2312" w:eastAsia="仿宋_GB2312" w:cs="仿宋_GB2312"/>
          <w:sz w:val="32"/>
          <w:szCs w:val="32"/>
          <w:highlight w:val="none"/>
        </w:rPr>
        <w:t>公开”</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件，占总数的</w:t>
      </w:r>
      <w:r>
        <w:rPr>
          <w:rFonts w:hint="eastAsia" w:ascii="仿宋_GB2312" w:hAnsi="仿宋_GB2312" w:eastAsia="仿宋_GB2312" w:cs="仿宋_GB2312"/>
          <w:sz w:val="32"/>
          <w:szCs w:val="32"/>
          <w:highlight w:val="none"/>
          <w:lang w:val="en-US" w:eastAsia="zh-CN"/>
        </w:rPr>
        <w:t>4.3</w:t>
      </w:r>
      <w:r>
        <w:rPr>
          <w:rFonts w:hint="eastAsia" w:ascii="仿宋_GB2312" w:hAnsi="仿宋_GB2312" w:eastAsia="仿宋_GB2312" w:cs="仿宋_GB2312"/>
          <w:sz w:val="32"/>
          <w:szCs w:val="32"/>
          <w:highlight w:val="none"/>
        </w:rPr>
        <w:t>%；“不予公开”</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件，占总数的</w:t>
      </w:r>
      <w:r>
        <w:rPr>
          <w:rFonts w:hint="eastAsia" w:ascii="仿宋_GB2312" w:hAnsi="仿宋_GB2312" w:eastAsia="仿宋_GB2312" w:cs="仿宋_GB2312"/>
          <w:sz w:val="32"/>
          <w:szCs w:val="32"/>
          <w:highlight w:val="none"/>
          <w:lang w:val="en-US" w:eastAsia="zh-CN"/>
        </w:rPr>
        <w:t>17.4</w:t>
      </w:r>
      <w:r>
        <w:rPr>
          <w:rFonts w:hint="eastAsia" w:ascii="仿宋_GB2312" w:hAnsi="仿宋_GB2312" w:eastAsia="仿宋_GB2312" w:cs="仿宋_GB2312"/>
          <w:sz w:val="32"/>
          <w:szCs w:val="32"/>
          <w:highlight w:val="none"/>
        </w:rPr>
        <w:t>%（属于</w:t>
      </w:r>
      <w:r>
        <w:rPr>
          <w:rFonts w:hint="eastAsia" w:ascii="仿宋_GB2312" w:hAnsi="仿宋_GB2312" w:eastAsia="仿宋_GB2312" w:cs="仿宋_GB2312"/>
          <w:sz w:val="32"/>
          <w:szCs w:val="32"/>
          <w:highlight w:val="none"/>
          <w:lang w:eastAsia="zh-CN"/>
        </w:rPr>
        <w:t>其他法律行政法规禁止公开</w:t>
      </w:r>
      <w:r>
        <w:rPr>
          <w:rFonts w:hint="eastAsia" w:ascii="仿宋_GB2312" w:hAnsi="仿宋_GB2312" w:eastAsia="仿宋_GB2312" w:cs="仿宋_GB2312"/>
          <w:sz w:val="32"/>
          <w:szCs w:val="32"/>
          <w:highlight w:val="none"/>
          <w:lang w:val="en-US" w:eastAsia="zh-CN"/>
        </w:rPr>
        <w:t>1件、</w:t>
      </w:r>
      <w:r>
        <w:rPr>
          <w:rFonts w:hint="eastAsia" w:ascii="仿宋_GB2312" w:hAnsi="仿宋_GB2312" w:eastAsia="仿宋_GB2312" w:cs="仿宋_GB2312"/>
          <w:sz w:val="32"/>
          <w:szCs w:val="32"/>
          <w:highlight w:val="none"/>
          <w:lang w:eastAsia="zh-CN"/>
        </w:rPr>
        <w:t>过程性信息</w:t>
      </w:r>
      <w:r>
        <w:rPr>
          <w:rFonts w:hint="eastAsia" w:ascii="仿宋_GB2312" w:hAnsi="仿宋_GB2312" w:eastAsia="仿宋_GB2312" w:cs="仿宋_GB2312"/>
          <w:sz w:val="32"/>
          <w:szCs w:val="32"/>
          <w:highlight w:val="none"/>
          <w:lang w:val="en-US" w:eastAsia="zh-CN"/>
        </w:rPr>
        <w:t>1件、内部事务信息2件、行政执法案卷信息1件</w:t>
      </w:r>
      <w:r>
        <w:rPr>
          <w:rFonts w:hint="eastAsia" w:ascii="仿宋_GB2312" w:hAnsi="仿宋_GB2312" w:eastAsia="仿宋_GB2312" w:cs="仿宋_GB2312"/>
          <w:sz w:val="32"/>
          <w:szCs w:val="32"/>
          <w:highlight w:val="none"/>
        </w:rPr>
        <w:t>）；“无法提供”</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件，占总数的</w:t>
      </w:r>
      <w:r>
        <w:rPr>
          <w:rFonts w:hint="eastAsia" w:ascii="仿宋_GB2312" w:hAnsi="仿宋_GB2312" w:eastAsia="仿宋_GB2312" w:cs="仿宋_GB2312"/>
          <w:sz w:val="32"/>
          <w:szCs w:val="32"/>
          <w:highlight w:val="none"/>
          <w:lang w:val="en-US" w:eastAsia="zh-CN"/>
        </w:rPr>
        <w:t>43.5</w:t>
      </w:r>
      <w:r>
        <w:rPr>
          <w:rFonts w:hint="eastAsia" w:ascii="仿宋_GB2312" w:hAnsi="仿宋_GB2312" w:eastAsia="仿宋_GB2312" w:cs="仿宋_GB2312"/>
          <w:sz w:val="32"/>
          <w:szCs w:val="32"/>
          <w:highlight w:val="none"/>
        </w:rPr>
        <w:t>%（本机关不掌握相关政府信息）。</w:t>
      </w:r>
    </w:p>
    <w:p>
      <w:pPr>
        <w:spacing w:line="560" w:lineRule="exact"/>
        <w:ind w:firstLine="643" w:firstLineChars="200"/>
        <w:rPr>
          <w:rFonts w:ascii="楷体_GB2312" w:hAnsi="楷体_GB2312" w:eastAsia="楷体_GB2312" w:cs="楷体_GB2312"/>
          <w:b/>
          <w:bCs/>
          <w:color w:val="FF0000"/>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四</w:t>
      </w:r>
      <w:r>
        <w:rPr>
          <w:rFonts w:hint="eastAsia" w:ascii="楷体_GB2312" w:hAnsi="楷体_GB2312" w:eastAsia="楷体_GB2312" w:cs="楷体_GB2312"/>
          <w:b/>
          <w:bCs/>
          <w:sz w:val="32"/>
          <w:szCs w:val="32"/>
        </w:rPr>
        <w:t>）政府信息资源的规范化、标准化管理情况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顺义分局在市局领导下，将对外服务事项进行“全目录、全流程”梳理，建立包括公开事项的名称、内容、公开属性、主体、时限、方式、依据等要素在内的公开标准模板，形成了一套公开标准目录并在市政府网站公开。公开内容逐步覆盖了权力运行全流程、政务服务全过程，公开制度体系基本完备，公开实效也进一步提升。</w:t>
      </w:r>
    </w:p>
    <w:p>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五</w:t>
      </w:r>
      <w:r>
        <w:rPr>
          <w:rFonts w:hint="eastAsia" w:ascii="楷体_GB2312" w:hAnsi="楷体_GB2312" w:eastAsia="楷体_GB2312" w:cs="楷体_GB2312"/>
          <w:b/>
          <w:bCs/>
          <w:sz w:val="32"/>
          <w:szCs w:val="32"/>
        </w:rPr>
        <w:t>）政府信息公开平台建设情况</w:t>
      </w:r>
    </w:p>
    <w:p>
      <w:pPr>
        <w:spacing w:line="560" w:lineRule="exact"/>
        <w:ind w:firstLine="640" w:firstLineChars="200"/>
        <w:rPr>
          <w:rFonts w:ascii="仿宋_GB2312" w:hAnsi="仿宋_GB2312" w:eastAsia="仿宋_GB2312" w:cs="仿宋_GB2312"/>
          <w:color w:val="FF0000"/>
          <w:sz w:val="32"/>
          <w:szCs w:val="32"/>
        </w:rPr>
      </w:pPr>
      <w:r>
        <w:rPr>
          <w:rFonts w:hint="eastAsia" w:ascii="仿宋_GB2312" w:hAnsi="仿宋_GB2312" w:eastAsia="仿宋_GB2312" w:cs="仿宋_GB2312"/>
          <w:color w:val="auto"/>
          <w:sz w:val="32"/>
          <w:szCs w:val="32"/>
        </w:rPr>
        <w:t>顺义分局在强化“两微”（微博、微信）建设基础上，积极拓宽公开渠道，利用抖音短视频账号，先后牵动相关单位做好涉警舆情管控，全年处置涉警舆情935起，撰写新闻口径及报告111次，成功应对“某明星被网络造谣”“美国使馆车被砸”等重大舆情。强化快速反应和梯次发布，掌控舆论主动权，确保舆情平稳。</w:t>
      </w:r>
    </w:p>
    <w:p>
      <w:pPr>
        <w:spacing w:line="560" w:lineRule="exact"/>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eastAsia="zh-CN"/>
        </w:rPr>
        <w:t>六</w:t>
      </w:r>
      <w:r>
        <w:rPr>
          <w:rFonts w:hint="eastAsia" w:ascii="楷体_GB2312" w:hAnsi="楷体_GB2312" w:eastAsia="楷体_GB2312" w:cs="楷体_GB2312"/>
          <w:b/>
          <w:bCs/>
          <w:sz w:val="32"/>
          <w:szCs w:val="32"/>
        </w:rPr>
        <w:t>）政府信息公开监督保障及教育培训情况</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顺义分局在顺义区顺平西路10号信访接待室设立政府信息公开申请受理点，配备3名兼职人员（民警2人，辅警1人）。教育培训方面，202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年分局举办培训班</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次，培训人员</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人次。</w:t>
      </w:r>
    </w:p>
    <w:p>
      <w:pPr>
        <w:pStyle w:val="3"/>
        <w:rPr>
          <w:rFonts w:hint="eastAsia"/>
        </w:rPr>
      </w:pPr>
    </w:p>
    <w:p>
      <w:pPr>
        <w:spacing w:line="600" w:lineRule="exact"/>
        <w:ind w:firstLine="627" w:firstLineChars="196"/>
        <w:rPr>
          <w:bCs/>
        </w:rPr>
      </w:pPr>
      <w:r>
        <w:rPr>
          <w:rFonts w:hint="eastAsia" w:ascii="黑体" w:hAnsi="黑体" w:eastAsia="黑体"/>
          <w:bCs/>
          <w:sz w:val="32"/>
          <w:szCs w:val="32"/>
        </w:rPr>
        <w:t>二、主动公开政府信息情况</w:t>
      </w:r>
    </w:p>
    <w:tbl>
      <w:tblPr>
        <w:tblStyle w:val="7"/>
        <w:tblW w:w="9740" w:type="dxa"/>
        <w:jc w:val="center"/>
        <w:tblInd w:w="0" w:type="dxa"/>
        <w:tblLayout w:type="fixed"/>
        <w:tblCellMar>
          <w:top w:w="0" w:type="dxa"/>
          <w:left w:w="0" w:type="dxa"/>
          <w:bottom w:w="0" w:type="dxa"/>
          <w:right w:w="0" w:type="dxa"/>
        </w:tblCellMar>
      </w:tblPr>
      <w:tblGrid>
        <w:gridCol w:w="2435"/>
        <w:gridCol w:w="2435"/>
        <w:gridCol w:w="2435"/>
        <w:gridCol w:w="2435"/>
      </w:tblGrid>
      <w:tr>
        <w:tblPrEx>
          <w:tblLayout w:type="fixed"/>
          <w:tblCellMar>
            <w:top w:w="0" w:type="dxa"/>
            <w:left w:w="0" w:type="dxa"/>
            <w:bottom w:w="0" w:type="dxa"/>
            <w:right w:w="0" w:type="dxa"/>
          </w:tblCellMar>
        </w:tblPrEx>
        <w:trPr>
          <w:trHeight w:val="340" w:hRule="atLeast"/>
          <w:jc w:val="center"/>
        </w:trPr>
        <w:tc>
          <w:tcPr>
            <w:tcW w:w="9740" w:type="dxa"/>
            <w:gridSpan w:val="4"/>
            <w:tcBorders>
              <w:top w:val="single" w:color="auto" w:sz="8" w:space="0"/>
              <w:left w:val="single" w:color="auto" w:sz="8" w:space="0"/>
              <w:bottom w:val="single" w:color="auto" w:sz="8" w:space="0"/>
              <w:right w:val="single" w:color="auto" w:sz="8" w:space="0"/>
            </w:tcBorders>
            <w:shd w:val="clear" w:color="auto" w:fill="9BC2E6"/>
            <w:tcMar>
              <w:left w:w="57" w:type="dxa"/>
              <w:right w:w="57" w:type="dxa"/>
            </w:tcMar>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第二十条第（一）项</w:t>
            </w:r>
          </w:p>
        </w:tc>
      </w:tr>
      <w:tr>
        <w:tblPrEx>
          <w:tblLayout w:type="fixed"/>
          <w:tblCellMar>
            <w:top w:w="0" w:type="dxa"/>
            <w:left w:w="0" w:type="dxa"/>
            <w:bottom w:w="0" w:type="dxa"/>
            <w:right w:w="0" w:type="dxa"/>
          </w:tblCellMar>
        </w:tblPrEx>
        <w:trPr>
          <w:trHeight w:val="340" w:hRule="exact"/>
          <w:jc w:val="center"/>
        </w:trPr>
        <w:tc>
          <w:tcPr>
            <w:tcW w:w="2435" w:type="dxa"/>
            <w:tcBorders>
              <w:top w:val="nil"/>
              <w:left w:val="single" w:color="auto" w:sz="8" w:space="0"/>
              <w:bottom w:val="single" w:color="auto" w:sz="8" w:space="0"/>
              <w:right w:val="single" w:color="auto" w:sz="8" w:space="0"/>
            </w:tcBorders>
            <w:shd w:val="clear" w:color="auto" w:fill="BDD7EE"/>
            <w:tcMar>
              <w:left w:w="57" w:type="dxa"/>
              <w:right w:w="57" w:type="dxa"/>
            </w:tcMar>
            <w:vAlign w:val="center"/>
          </w:tcPr>
          <w:p>
            <w:pPr>
              <w:widowControl/>
              <w:jc w:val="center"/>
            </w:pPr>
            <w:r>
              <w:rPr>
                <w:rFonts w:hint="eastAsia" w:ascii="宋体" w:hAnsi="宋体" w:cs="宋体"/>
                <w:color w:val="000000"/>
                <w:kern w:val="0"/>
                <w:sz w:val="20"/>
                <w:szCs w:val="20"/>
              </w:rPr>
              <w:t>信息内容</w:t>
            </w:r>
          </w:p>
        </w:tc>
        <w:tc>
          <w:tcPr>
            <w:tcW w:w="2435" w:type="dxa"/>
            <w:tcBorders>
              <w:top w:val="single" w:color="auto" w:sz="8" w:space="0"/>
              <w:left w:val="nil"/>
              <w:bottom w:val="single" w:color="auto" w:sz="8" w:space="0"/>
              <w:right w:val="single" w:color="auto" w:sz="8" w:space="0"/>
            </w:tcBorders>
            <w:shd w:val="clear" w:color="auto" w:fill="DDEBF7"/>
            <w:tcMar>
              <w:left w:w="57" w:type="dxa"/>
              <w:right w:w="57" w:type="dxa"/>
            </w:tcMar>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本年制发件数</w:t>
            </w:r>
          </w:p>
        </w:tc>
        <w:tc>
          <w:tcPr>
            <w:tcW w:w="2435" w:type="dxa"/>
            <w:tcBorders>
              <w:top w:val="single" w:color="auto" w:sz="8" w:space="0"/>
              <w:left w:val="nil"/>
              <w:bottom w:val="single" w:color="auto" w:sz="8" w:space="0"/>
              <w:right w:val="single" w:color="auto" w:sz="8" w:space="0"/>
            </w:tcBorders>
            <w:shd w:val="clear" w:color="auto" w:fill="DDEBF7"/>
            <w:tcMar>
              <w:left w:w="57" w:type="dxa"/>
              <w:right w:w="57" w:type="dxa"/>
            </w:tcMar>
            <w:vAlign w:val="center"/>
          </w:tcPr>
          <w:p>
            <w:pPr>
              <w:widowControl/>
              <w:jc w:val="center"/>
            </w:pPr>
            <w:r>
              <w:rPr>
                <w:rFonts w:hint="eastAsia" w:ascii="宋体" w:hAnsi="宋体" w:cs="宋体"/>
                <w:color w:val="000000"/>
                <w:kern w:val="0"/>
                <w:sz w:val="20"/>
                <w:szCs w:val="20"/>
              </w:rPr>
              <w:t>本年废止件数</w:t>
            </w:r>
          </w:p>
        </w:tc>
        <w:tc>
          <w:tcPr>
            <w:tcW w:w="2435" w:type="dxa"/>
            <w:tcBorders>
              <w:top w:val="single" w:color="auto" w:sz="8" w:space="0"/>
              <w:left w:val="nil"/>
              <w:bottom w:val="single" w:color="auto" w:sz="8" w:space="0"/>
              <w:right w:val="single" w:color="auto" w:sz="8" w:space="0"/>
            </w:tcBorders>
            <w:shd w:val="clear" w:color="auto" w:fill="DDEBF7"/>
            <w:tcMar>
              <w:left w:w="57" w:type="dxa"/>
              <w:right w:w="57" w:type="dxa"/>
            </w:tcMar>
            <w:vAlign w:val="center"/>
          </w:tcPr>
          <w:p>
            <w:pPr>
              <w:widowControl/>
              <w:jc w:val="center"/>
            </w:pPr>
            <w:r>
              <w:rPr>
                <w:rFonts w:hint="eastAsia" w:ascii="宋体" w:hAnsi="宋体" w:cs="宋体"/>
                <w:color w:val="000000"/>
                <w:kern w:val="0"/>
                <w:sz w:val="20"/>
                <w:szCs w:val="20"/>
              </w:rPr>
              <w:t>现行有效件</w:t>
            </w:r>
            <w:r>
              <w:rPr>
                <w:rFonts w:hint="eastAsia" w:ascii="宋体" w:hAnsi="宋体" w:cs="宋体"/>
                <w:kern w:val="0"/>
                <w:sz w:val="20"/>
                <w:szCs w:val="20"/>
              </w:rPr>
              <w:t>数</w:t>
            </w:r>
          </w:p>
        </w:tc>
      </w:tr>
      <w:tr>
        <w:tblPrEx>
          <w:tblLayout w:type="fixed"/>
          <w:tblCellMar>
            <w:top w:w="0" w:type="dxa"/>
            <w:left w:w="0" w:type="dxa"/>
            <w:bottom w:w="0" w:type="dxa"/>
            <w:right w:w="0" w:type="dxa"/>
          </w:tblCellMar>
        </w:tblPrEx>
        <w:trPr>
          <w:trHeight w:val="340" w:hRule="atLeast"/>
          <w:jc w:val="center"/>
        </w:trPr>
        <w:tc>
          <w:tcPr>
            <w:tcW w:w="2435" w:type="dxa"/>
            <w:tcBorders>
              <w:top w:val="nil"/>
              <w:left w:val="single" w:color="auto" w:sz="8" w:space="0"/>
              <w:bottom w:val="single" w:color="auto" w:sz="8" w:space="0"/>
              <w:right w:val="single" w:color="auto" w:sz="8" w:space="0"/>
            </w:tcBorders>
            <w:shd w:val="clear" w:color="auto" w:fill="BDD7EE"/>
            <w:tcMar>
              <w:left w:w="57" w:type="dxa"/>
              <w:right w:w="57" w:type="dxa"/>
            </w:tcMar>
            <w:vAlign w:val="center"/>
          </w:tcPr>
          <w:p>
            <w:pPr>
              <w:widowControl/>
              <w:jc w:val="left"/>
            </w:pPr>
            <w:r>
              <w:rPr>
                <w:rFonts w:hint="eastAsia" w:ascii="宋体" w:hAnsi="宋体" w:cs="宋体"/>
                <w:color w:val="000000"/>
                <w:kern w:val="0"/>
                <w:sz w:val="20"/>
                <w:szCs w:val="20"/>
              </w:rPr>
              <w:t>规章</w:t>
            </w:r>
          </w:p>
        </w:tc>
        <w:tc>
          <w:tcPr>
            <w:tcW w:w="2435" w:type="dxa"/>
            <w:tcBorders>
              <w:top w:val="nil"/>
              <w:left w:val="nil"/>
              <w:bottom w:val="single" w:color="auto" w:sz="8" w:space="0"/>
              <w:right w:val="single" w:color="auto" w:sz="8" w:space="0"/>
            </w:tcBorders>
            <w:tcMar>
              <w:left w:w="57" w:type="dxa"/>
              <w:right w:w="57" w:type="dxa"/>
            </w:tcMar>
            <w:vAlign w:val="center"/>
          </w:tcPr>
          <w:p>
            <w:pPr>
              <w:widowControl/>
              <w:jc w:val="center"/>
            </w:pPr>
            <w:r>
              <w:rPr>
                <w:rFonts w:hint="eastAsia" w:ascii="宋体" w:hAnsi="宋体" w:cs="宋体"/>
                <w:color w:val="000000"/>
                <w:kern w:val="0"/>
                <w:sz w:val="20"/>
                <w:szCs w:val="20"/>
                <w:lang w:val="en-US" w:eastAsia="zh-CN" w:bidi="ar"/>
              </w:rPr>
              <w:t>0</w:t>
            </w:r>
          </w:p>
        </w:tc>
        <w:tc>
          <w:tcPr>
            <w:tcW w:w="2435" w:type="dxa"/>
            <w:tcBorders>
              <w:top w:val="nil"/>
              <w:left w:val="nil"/>
              <w:bottom w:val="single" w:color="auto" w:sz="8" w:space="0"/>
              <w:right w:val="single" w:color="auto" w:sz="8" w:space="0"/>
            </w:tcBorders>
            <w:tcMar>
              <w:left w:w="57" w:type="dxa"/>
              <w:right w:w="57" w:type="dxa"/>
            </w:tcMar>
            <w:vAlign w:val="center"/>
          </w:tcPr>
          <w:p>
            <w:pPr>
              <w:widowControl/>
              <w:jc w:val="center"/>
            </w:pPr>
            <w:r>
              <w:rPr>
                <w:rFonts w:hint="eastAsia" w:ascii="宋体" w:hAnsi="宋体" w:cs="宋体"/>
                <w:color w:val="000000"/>
                <w:kern w:val="0"/>
                <w:sz w:val="20"/>
                <w:szCs w:val="20"/>
                <w:lang w:val="en-US" w:eastAsia="zh-CN" w:bidi="ar"/>
              </w:rPr>
              <w:t>0</w:t>
            </w:r>
          </w:p>
        </w:tc>
        <w:tc>
          <w:tcPr>
            <w:tcW w:w="2435" w:type="dxa"/>
            <w:tcBorders>
              <w:top w:val="nil"/>
              <w:left w:val="nil"/>
              <w:bottom w:val="single" w:color="auto" w:sz="8" w:space="0"/>
              <w:right w:val="single" w:color="auto" w:sz="8" w:space="0"/>
            </w:tcBorders>
            <w:tcMar>
              <w:left w:w="57" w:type="dxa"/>
              <w:right w:w="57" w:type="dxa"/>
            </w:tcMar>
            <w:vAlign w:val="center"/>
          </w:tcPr>
          <w:p>
            <w:pPr>
              <w:widowControl/>
              <w:jc w:val="center"/>
            </w:pPr>
            <w:r>
              <w:rPr>
                <w:rFonts w:hint="eastAsia" w:cs="Calibri"/>
                <w:kern w:val="0"/>
                <w:szCs w:val="21"/>
                <w:lang w:val="en-US" w:eastAsia="zh-CN" w:bidi="ar"/>
              </w:rPr>
              <w:t>0</w:t>
            </w:r>
          </w:p>
        </w:tc>
      </w:tr>
      <w:tr>
        <w:tblPrEx>
          <w:tblLayout w:type="fixed"/>
          <w:tblCellMar>
            <w:top w:w="0" w:type="dxa"/>
            <w:left w:w="0" w:type="dxa"/>
            <w:bottom w:w="0" w:type="dxa"/>
            <w:right w:w="0" w:type="dxa"/>
          </w:tblCellMar>
        </w:tblPrEx>
        <w:trPr>
          <w:trHeight w:val="340" w:hRule="atLeast"/>
          <w:jc w:val="center"/>
        </w:trPr>
        <w:tc>
          <w:tcPr>
            <w:tcW w:w="2435" w:type="dxa"/>
            <w:tcBorders>
              <w:top w:val="nil"/>
              <w:left w:val="single" w:color="auto" w:sz="8" w:space="0"/>
              <w:bottom w:val="single" w:color="auto" w:sz="8" w:space="0"/>
              <w:right w:val="single" w:color="auto" w:sz="8" w:space="0"/>
            </w:tcBorders>
            <w:shd w:val="clear" w:color="auto" w:fill="BDD7EE"/>
            <w:tcMar>
              <w:left w:w="57" w:type="dxa"/>
              <w:right w:w="57" w:type="dxa"/>
            </w:tcMar>
            <w:vAlign w:val="center"/>
          </w:tcPr>
          <w:p>
            <w:pPr>
              <w:widowControl/>
              <w:jc w:val="left"/>
            </w:pPr>
            <w:r>
              <w:rPr>
                <w:rFonts w:hint="eastAsia" w:ascii="宋体" w:hAnsi="宋体" w:cs="宋体"/>
                <w:color w:val="000000"/>
                <w:kern w:val="0"/>
                <w:sz w:val="20"/>
                <w:szCs w:val="20"/>
              </w:rPr>
              <w:t>行政规范性文件</w:t>
            </w:r>
          </w:p>
        </w:tc>
        <w:tc>
          <w:tcPr>
            <w:tcW w:w="2435" w:type="dxa"/>
            <w:tcBorders>
              <w:top w:val="nil"/>
              <w:left w:val="nil"/>
              <w:bottom w:val="single" w:color="auto" w:sz="8" w:space="0"/>
              <w:right w:val="single" w:color="auto" w:sz="8" w:space="0"/>
            </w:tcBorders>
            <w:tcMar>
              <w:left w:w="57" w:type="dxa"/>
              <w:right w:w="57" w:type="dxa"/>
            </w:tcMar>
            <w:vAlign w:val="center"/>
          </w:tcPr>
          <w:p>
            <w:pPr>
              <w:widowControl/>
              <w:jc w:val="center"/>
            </w:pPr>
            <w:r>
              <w:rPr>
                <w:rFonts w:hint="eastAsia" w:ascii="宋体" w:hAnsi="宋体" w:cs="宋体"/>
                <w:color w:val="000000"/>
                <w:kern w:val="0"/>
                <w:sz w:val="20"/>
                <w:szCs w:val="20"/>
                <w:lang w:val="en-US" w:eastAsia="zh-CN" w:bidi="ar"/>
              </w:rPr>
              <w:t>0</w:t>
            </w:r>
          </w:p>
        </w:tc>
        <w:tc>
          <w:tcPr>
            <w:tcW w:w="2435" w:type="dxa"/>
            <w:tcBorders>
              <w:top w:val="nil"/>
              <w:left w:val="nil"/>
              <w:bottom w:val="single" w:color="auto" w:sz="8" w:space="0"/>
              <w:right w:val="single" w:color="auto" w:sz="8" w:space="0"/>
            </w:tcBorders>
            <w:tcMar>
              <w:left w:w="57" w:type="dxa"/>
              <w:right w:w="57" w:type="dxa"/>
            </w:tcMar>
            <w:vAlign w:val="center"/>
          </w:tcPr>
          <w:p>
            <w:pPr>
              <w:widowControl/>
              <w:jc w:val="center"/>
            </w:pPr>
            <w:r>
              <w:rPr>
                <w:rFonts w:hint="eastAsia" w:ascii="宋体" w:hAnsi="宋体" w:cs="宋体"/>
                <w:color w:val="000000"/>
                <w:kern w:val="0"/>
                <w:sz w:val="20"/>
                <w:szCs w:val="20"/>
                <w:lang w:val="en-US" w:eastAsia="zh-CN" w:bidi="ar"/>
              </w:rPr>
              <w:t>0</w:t>
            </w:r>
          </w:p>
        </w:tc>
        <w:tc>
          <w:tcPr>
            <w:tcW w:w="2435" w:type="dxa"/>
            <w:tcBorders>
              <w:top w:val="nil"/>
              <w:left w:val="nil"/>
              <w:bottom w:val="single" w:color="auto" w:sz="8" w:space="0"/>
              <w:right w:val="single" w:color="auto" w:sz="8" w:space="0"/>
            </w:tcBorders>
            <w:tcMar>
              <w:left w:w="57" w:type="dxa"/>
              <w:right w:w="57" w:type="dxa"/>
            </w:tcMar>
            <w:vAlign w:val="center"/>
          </w:tcPr>
          <w:p>
            <w:pPr>
              <w:widowControl/>
              <w:jc w:val="center"/>
            </w:pPr>
            <w:r>
              <w:rPr>
                <w:rFonts w:hint="eastAsia" w:cs="Calibri"/>
                <w:kern w:val="0"/>
                <w:szCs w:val="21"/>
                <w:lang w:val="en-US" w:eastAsia="zh-CN" w:bidi="ar"/>
              </w:rPr>
              <w:t>0</w:t>
            </w:r>
          </w:p>
        </w:tc>
      </w:tr>
      <w:tr>
        <w:tblPrEx>
          <w:tblLayout w:type="fixed"/>
          <w:tblCellMar>
            <w:top w:w="0" w:type="dxa"/>
            <w:left w:w="0" w:type="dxa"/>
            <w:bottom w:w="0" w:type="dxa"/>
            <w:right w:w="0" w:type="dxa"/>
          </w:tblCellMar>
        </w:tblPrEx>
        <w:trPr>
          <w:trHeight w:val="340" w:hRule="atLeast"/>
          <w:jc w:val="center"/>
        </w:trPr>
        <w:tc>
          <w:tcPr>
            <w:tcW w:w="9740" w:type="dxa"/>
            <w:gridSpan w:val="4"/>
            <w:tcBorders>
              <w:top w:val="nil"/>
              <w:left w:val="single" w:color="auto" w:sz="8" w:space="0"/>
              <w:bottom w:val="single" w:color="auto" w:sz="8" w:space="0"/>
              <w:right w:val="single" w:color="auto" w:sz="8" w:space="0"/>
            </w:tcBorders>
            <w:shd w:val="clear" w:color="auto" w:fill="9BC2E6"/>
            <w:tcMar>
              <w:left w:w="57" w:type="dxa"/>
              <w:right w:w="57" w:type="dxa"/>
            </w:tcMar>
            <w:vAlign w:val="center"/>
          </w:tcPr>
          <w:p>
            <w:pPr>
              <w:widowControl/>
              <w:jc w:val="center"/>
            </w:pPr>
            <w:r>
              <w:rPr>
                <w:rFonts w:hint="eastAsia" w:ascii="宋体" w:hAnsi="宋体" w:cs="宋体"/>
                <w:color w:val="000000"/>
                <w:kern w:val="0"/>
                <w:sz w:val="20"/>
                <w:szCs w:val="20"/>
              </w:rPr>
              <w:t>第二十条第（五）项</w:t>
            </w:r>
          </w:p>
        </w:tc>
      </w:tr>
      <w:tr>
        <w:tblPrEx>
          <w:tblLayout w:type="fixed"/>
          <w:tblCellMar>
            <w:top w:w="0" w:type="dxa"/>
            <w:left w:w="0" w:type="dxa"/>
            <w:bottom w:w="0" w:type="dxa"/>
            <w:right w:w="0" w:type="dxa"/>
          </w:tblCellMar>
        </w:tblPrEx>
        <w:trPr>
          <w:trHeight w:val="340" w:hRule="atLeast"/>
          <w:jc w:val="center"/>
        </w:trPr>
        <w:tc>
          <w:tcPr>
            <w:tcW w:w="2435" w:type="dxa"/>
            <w:tcBorders>
              <w:top w:val="nil"/>
              <w:left w:val="single" w:color="auto" w:sz="8" w:space="0"/>
              <w:bottom w:val="single" w:color="auto" w:sz="8" w:space="0"/>
              <w:right w:val="single" w:color="auto" w:sz="8" w:space="0"/>
            </w:tcBorders>
            <w:shd w:val="clear" w:color="auto" w:fill="BDD7EE"/>
            <w:tcMar>
              <w:left w:w="57" w:type="dxa"/>
              <w:right w:w="57" w:type="dxa"/>
            </w:tcMar>
            <w:vAlign w:val="center"/>
          </w:tcPr>
          <w:p>
            <w:pPr>
              <w:widowControl/>
              <w:jc w:val="center"/>
            </w:pPr>
            <w:r>
              <w:rPr>
                <w:rFonts w:hint="eastAsia" w:ascii="宋体" w:hAnsi="宋体" w:cs="宋体"/>
                <w:color w:val="000000"/>
                <w:kern w:val="0"/>
                <w:sz w:val="20"/>
                <w:szCs w:val="20"/>
              </w:rPr>
              <w:t>信息内容</w:t>
            </w:r>
          </w:p>
        </w:tc>
        <w:tc>
          <w:tcPr>
            <w:tcW w:w="7305" w:type="dxa"/>
            <w:gridSpan w:val="3"/>
            <w:tcBorders>
              <w:top w:val="nil"/>
              <w:left w:val="nil"/>
              <w:bottom w:val="single" w:color="auto" w:sz="8" w:space="0"/>
              <w:right w:val="single" w:color="auto" w:sz="8" w:space="0"/>
            </w:tcBorders>
            <w:shd w:val="clear" w:color="auto" w:fill="DDEBF7"/>
            <w:tcMar>
              <w:left w:w="57" w:type="dxa"/>
              <w:right w:w="57" w:type="dxa"/>
            </w:tcMar>
            <w:vAlign w:val="center"/>
          </w:tcPr>
          <w:p>
            <w:pPr>
              <w:widowControl/>
              <w:jc w:val="center"/>
            </w:pPr>
            <w:r>
              <w:rPr>
                <w:rFonts w:hint="eastAsia" w:ascii="宋体" w:hAnsi="宋体" w:cs="宋体"/>
                <w:color w:val="000000"/>
                <w:kern w:val="0"/>
                <w:sz w:val="20"/>
                <w:szCs w:val="20"/>
              </w:rPr>
              <w:t>本年处理决定数量</w:t>
            </w:r>
          </w:p>
        </w:tc>
      </w:tr>
      <w:tr>
        <w:tblPrEx>
          <w:tblLayout w:type="fixed"/>
          <w:tblCellMar>
            <w:top w:w="0" w:type="dxa"/>
            <w:left w:w="0" w:type="dxa"/>
            <w:bottom w:w="0" w:type="dxa"/>
            <w:right w:w="0" w:type="dxa"/>
          </w:tblCellMar>
        </w:tblPrEx>
        <w:trPr>
          <w:trHeight w:val="340" w:hRule="atLeast"/>
          <w:jc w:val="center"/>
        </w:trPr>
        <w:tc>
          <w:tcPr>
            <w:tcW w:w="2435" w:type="dxa"/>
            <w:tcBorders>
              <w:top w:val="nil"/>
              <w:left w:val="single" w:color="auto" w:sz="8" w:space="0"/>
              <w:bottom w:val="single" w:color="auto" w:sz="8" w:space="0"/>
              <w:right w:val="single" w:color="auto" w:sz="8" w:space="0"/>
            </w:tcBorders>
            <w:shd w:val="clear" w:color="auto" w:fill="BDD7EE"/>
            <w:tcMar>
              <w:left w:w="57" w:type="dxa"/>
              <w:right w:w="57" w:type="dxa"/>
            </w:tcMar>
            <w:vAlign w:val="center"/>
          </w:tcPr>
          <w:p>
            <w:pPr>
              <w:widowControl/>
              <w:jc w:val="left"/>
            </w:pPr>
            <w:r>
              <w:rPr>
                <w:rFonts w:hint="eastAsia" w:ascii="宋体" w:hAnsi="宋体" w:cs="宋体"/>
                <w:color w:val="000000"/>
                <w:kern w:val="0"/>
                <w:sz w:val="20"/>
                <w:szCs w:val="20"/>
              </w:rPr>
              <w:t>行政许可</w:t>
            </w:r>
          </w:p>
        </w:tc>
        <w:tc>
          <w:tcPr>
            <w:tcW w:w="7305" w:type="dxa"/>
            <w:gridSpan w:val="3"/>
            <w:tcBorders>
              <w:top w:val="nil"/>
              <w:left w:val="nil"/>
              <w:bottom w:val="single" w:color="auto" w:sz="8" w:space="0"/>
              <w:right w:val="single" w:color="auto" w:sz="8" w:space="0"/>
            </w:tcBorders>
            <w:tcMar>
              <w:left w:w="57" w:type="dxa"/>
              <w:right w:w="57" w:type="dxa"/>
            </w:tcMar>
            <w:vAlign w:val="center"/>
          </w:tcPr>
          <w:p>
            <w:pPr>
              <w:keepNext w:val="0"/>
              <w:keepLines w:val="0"/>
              <w:widowControl/>
              <w:suppressLineNumbers w:val="0"/>
              <w:jc w:val="center"/>
              <w:textAlignment w:val="center"/>
              <w:rPr>
                <w:lang w:val="en-US"/>
              </w:rPr>
            </w:pPr>
            <w:r>
              <w:rPr>
                <w:rFonts w:hint="eastAsia" w:ascii="宋体" w:hAnsi="宋体" w:cs="宋体"/>
                <w:color w:val="000000"/>
                <w:kern w:val="0"/>
                <w:sz w:val="20"/>
                <w:szCs w:val="20"/>
                <w:lang w:val="en-US" w:eastAsia="zh-CN" w:bidi="ar"/>
              </w:rPr>
              <w:t>187230</w:t>
            </w:r>
          </w:p>
        </w:tc>
      </w:tr>
      <w:tr>
        <w:tblPrEx>
          <w:tblLayout w:type="fixed"/>
          <w:tblCellMar>
            <w:top w:w="0" w:type="dxa"/>
            <w:left w:w="0" w:type="dxa"/>
            <w:bottom w:w="0" w:type="dxa"/>
            <w:right w:w="0" w:type="dxa"/>
          </w:tblCellMar>
        </w:tblPrEx>
        <w:trPr>
          <w:trHeight w:val="340" w:hRule="atLeast"/>
          <w:jc w:val="center"/>
        </w:trPr>
        <w:tc>
          <w:tcPr>
            <w:tcW w:w="9740" w:type="dxa"/>
            <w:gridSpan w:val="4"/>
            <w:tcBorders>
              <w:top w:val="nil"/>
              <w:left w:val="single" w:color="auto" w:sz="8" w:space="0"/>
              <w:bottom w:val="single" w:color="auto" w:sz="8" w:space="0"/>
              <w:right w:val="single" w:color="auto" w:sz="8" w:space="0"/>
            </w:tcBorders>
            <w:shd w:val="clear" w:color="auto" w:fill="9BC2E6"/>
            <w:tcMar>
              <w:left w:w="57" w:type="dxa"/>
              <w:right w:w="57" w:type="dxa"/>
            </w:tcMar>
            <w:vAlign w:val="center"/>
          </w:tcPr>
          <w:p>
            <w:pPr>
              <w:widowControl/>
              <w:jc w:val="center"/>
            </w:pPr>
            <w:r>
              <w:rPr>
                <w:rFonts w:hint="eastAsia" w:ascii="宋体" w:hAnsi="宋体" w:cs="宋体"/>
                <w:color w:val="000000"/>
                <w:kern w:val="0"/>
                <w:sz w:val="20"/>
                <w:szCs w:val="20"/>
              </w:rPr>
              <w:t>第二十条第（六）项</w:t>
            </w:r>
          </w:p>
        </w:tc>
      </w:tr>
      <w:tr>
        <w:tblPrEx>
          <w:tblLayout w:type="fixed"/>
          <w:tblCellMar>
            <w:top w:w="0" w:type="dxa"/>
            <w:left w:w="0" w:type="dxa"/>
            <w:bottom w:w="0" w:type="dxa"/>
            <w:right w:w="0" w:type="dxa"/>
          </w:tblCellMar>
        </w:tblPrEx>
        <w:trPr>
          <w:trHeight w:val="340" w:hRule="atLeast"/>
          <w:jc w:val="center"/>
        </w:trPr>
        <w:tc>
          <w:tcPr>
            <w:tcW w:w="2435" w:type="dxa"/>
            <w:tcBorders>
              <w:top w:val="nil"/>
              <w:left w:val="single" w:color="auto" w:sz="8" w:space="0"/>
              <w:bottom w:val="single" w:color="auto" w:sz="8" w:space="0"/>
              <w:right w:val="single" w:color="auto" w:sz="8" w:space="0"/>
            </w:tcBorders>
            <w:shd w:val="clear" w:color="auto" w:fill="BDD7EE"/>
            <w:tcMar>
              <w:left w:w="57" w:type="dxa"/>
              <w:right w:w="57" w:type="dxa"/>
            </w:tcMar>
            <w:vAlign w:val="center"/>
          </w:tcPr>
          <w:p>
            <w:pPr>
              <w:widowControl/>
            </w:pPr>
            <w:r>
              <w:rPr>
                <w:rFonts w:hint="eastAsia" w:ascii="宋体" w:hAnsi="宋体" w:cs="宋体"/>
                <w:color w:val="000000"/>
                <w:kern w:val="0"/>
                <w:sz w:val="20"/>
                <w:szCs w:val="20"/>
              </w:rPr>
              <w:t>信息内容</w:t>
            </w:r>
          </w:p>
        </w:tc>
        <w:tc>
          <w:tcPr>
            <w:tcW w:w="7305" w:type="dxa"/>
            <w:gridSpan w:val="3"/>
            <w:tcBorders>
              <w:top w:val="single" w:color="auto" w:sz="8" w:space="0"/>
              <w:left w:val="nil"/>
              <w:bottom w:val="single" w:color="auto" w:sz="8" w:space="0"/>
              <w:right w:val="single" w:color="auto" w:sz="8" w:space="0"/>
            </w:tcBorders>
            <w:shd w:val="clear" w:color="auto" w:fill="DDEBF7"/>
            <w:tcMar>
              <w:left w:w="57" w:type="dxa"/>
              <w:right w:w="57" w:type="dxa"/>
            </w:tcMar>
            <w:vAlign w:val="center"/>
          </w:tcPr>
          <w:p>
            <w:pPr>
              <w:widowControl/>
              <w:jc w:val="center"/>
            </w:pPr>
            <w:r>
              <w:rPr>
                <w:rFonts w:hint="eastAsia" w:ascii="宋体" w:hAnsi="宋体" w:cs="宋体"/>
                <w:color w:val="000000"/>
                <w:kern w:val="0"/>
                <w:sz w:val="20"/>
                <w:szCs w:val="20"/>
              </w:rPr>
              <w:t>本年处理决定数量</w:t>
            </w:r>
          </w:p>
        </w:tc>
      </w:tr>
      <w:tr>
        <w:tblPrEx>
          <w:tblLayout w:type="fixed"/>
          <w:tblCellMar>
            <w:top w:w="0" w:type="dxa"/>
            <w:left w:w="0" w:type="dxa"/>
            <w:bottom w:w="0" w:type="dxa"/>
            <w:right w:w="0" w:type="dxa"/>
          </w:tblCellMar>
        </w:tblPrEx>
        <w:trPr>
          <w:trHeight w:val="340" w:hRule="atLeast"/>
          <w:jc w:val="center"/>
        </w:trPr>
        <w:tc>
          <w:tcPr>
            <w:tcW w:w="2435" w:type="dxa"/>
            <w:tcBorders>
              <w:top w:val="nil"/>
              <w:left w:val="single" w:color="auto" w:sz="8" w:space="0"/>
              <w:bottom w:val="single" w:color="auto" w:sz="8" w:space="0"/>
              <w:right w:val="single" w:color="auto" w:sz="8" w:space="0"/>
            </w:tcBorders>
            <w:shd w:val="clear" w:color="auto" w:fill="BDD7EE"/>
            <w:tcMar>
              <w:left w:w="57" w:type="dxa"/>
              <w:right w:w="57" w:type="dxa"/>
            </w:tcMar>
            <w:vAlign w:val="center"/>
          </w:tcPr>
          <w:p>
            <w:pPr>
              <w:widowControl/>
              <w:jc w:val="left"/>
            </w:pPr>
            <w:r>
              <w:rPr>
                <w:rFonts w:hint="eastAsia" w:ascii="宋体" w:hAnsi="宋体" w:cs="宋体"/>
                <w:color w:val="000000"/>
                <w:kern w:val="0"/>
                <w:sz w:val="20"/>
                <w:szCs w:val="20"/>
              </w:rPr>
              <w:t>行政处罚</w:t>
            </w:r>
          </w:p>
        </w:tc>
        <w:tc>
          <w:tcPr>
            <w:tcW w:w="7305" w:type="dxa"/>
            <w:gridSpan w:val="3"/>
            <w:tcBorders>
              <w:top w:val="nil"/>
              <w:left w:val="nil"/>
              <w:bottom w:val="single" w:color="auto" w:sz="8" w:space="0"/>
              <w:right w:val="single" w:color="auto" w:sz="8" w:space="0"/>
            </w:tcBorders>
            <w:tcMar>
              <w:left w:w="57" w:type="dxa"/>
              <w:right w:w="57"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44406</w:t>
            </w:r>
          </w:p>
        </w:tc>
      </w:tr>
      <w:tr>
        <w:tblPrEx>
          <w:tblLayout w:type="fixed"/>
          <w:tblCellMar>
            <w:top w:w="0" w:type="dxa"/>
            <w:left w:w="0" w:type="dxa"/>
            <w:bottom w:w="0" w:type="dxa"/>
            <w:right w:w="0" w:type="dxa"/>
          </w:tblCellMar>
        </w:tblPrEx>
        <w:trPr>
          <w:trHeight w:val="340" w:hRule="atLeast"/>
          <w:jc w:val="center"/>
        </w:trPr>
        <w:tc>
          <w:tcPr>
            <w:tcW w:w="2435" w:type="dxa"/>
            <w:tcBorders>
              <w:top w:val="nil"/>
              <w:left w:val="single" w:color="auto" w:sz="8" w:space="0"/>
              <w:bottom w:val="single" w:color="auto" w:sz="8" w:space="0"/>
              <w:right w:val="single" w:color="auto" w:sz="8" w:space="0"/>
            </w:tcBorders>
            <w:shd w:val="clear" w:color="auto" w:fill="BDD7EE"/>
            <w:tcMar>
              <w:left w:w="57" w:type="dxa"/>
              <w:right w:w="57" w:type="dxa"/>
            </w:tcMar>
            <w:vAlign w:val="center"/>
          </w:tcPr>
          <w:p>
            <w:pPr>
              <w:widowControl/>
              <w:jc w:val="left"/>
            </w:pPr>
            <w:r>
              <w:rPr>
                <w:rFonts w:hint="eastAsia" w:ascii="宋体" w:hAnsi="宋体" w:cs="宋体"/>
                <w:color w:val="000000"/>
                <w:kern w:val="0"/>
                <w:sz w:val="20"/>
                <w:szCs w:val="20"/>
              </w:rPr>
              <w:t>行政强制</w:t>
            </w:r>
          </w:p>
        </w:tc>
        <w:tc>
          <w:tcPr>
            <w:tcW w:w="7305" w:type="dxa"/>
            <w:gridSpan w:val="3"/>
            <w:tcBorders>
              <w:top w:val="nil"/>
              <w:left w:val="nil"/>
              <w:bottom w:val="single" w:color="auto" w:sz="8" w:space="0"/>
              <w:right w:val="single" w:color="auto" w:sz="8" w:space="0"/>
            </w:tcBorders>
            <w:tcMar>
              <w:left w:w="57" w:type="dxa"/>
              <w:right w:w="57" w:type="dxa"/>
            </w:tcMar>
            <w:vAlign w:val="center"/>
          </w:tcPr>
          <w:p>
            <w:pPr>
              <w:keepNext w:val="0"/>
              <w:keepLines w:val="0"/>
              <w:widowControl/>
              <w:suppressLineNumbers w:val="0"/>
              <w:jc w:val="center"/>
              <w:textAlignment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14565</w:t>
            </w:r>
          </w:p>
        </w:tc>
      </w:tr>
      <w:tr>
        <w:tblPrEx>
          <w:tblLayout w:type="fixed"/>
          <w:tblCellMar>
            <w:top w:w="0" w:type="dxa"/>
            <w:left w:w="0" w:type="dxa"/>
            <w:bottom w:w="0" w:type="dxa"/>
            <w:right w:w="0" w:type="dxa"/>
          </w:tblCellMar>
        </w:tblPrEx>
        <w:trPr>
          <w:trHeight w:val="340" w:hRule="atLeast"/>
          <w:jc w:val="center"/>
        </w:trPr>
        <w:tc>
          <w:tcPr>
            <w:tcW w:w="9740" w:type="dxa"/>
            <w:gridSpan w:val="4"/>
            <w:tcBorders>
              <w:top w:val="nil"/>
              <w:left w:val="single" w:color="auto" w:sz="8" w:space="0"/>
              <w:bottom w:val="single" w:color="auto" w:sz="8" w:space="0"/>
              <w:right w:val="single" w:color="auto" w:sz="8" w:space="0"/>
            </w:tcBorders>
            <w:shd w:val="clear" w:color="auto" w:fill="9BC2E6"/>
            <w:tcMar>
              <w:left w:w="57" w:type="dxa"/>
              <w:right w:w="57" w:type="dxa"/>
            </w:tcMar>
            <w:vAlign w:val="center"/>
          </w:tcPr>
          <w:p>
            <w:pPr>
              <w:widowControl/>
              <w:jc w:val="center"/>
            </w:pPr>
            <w:r>
              <w:rPr>
                <w:rFonts w:hint="eastAsia" w:ascii="宋体" w:hAnsi="宋体" w:cs="宋体"/>
                <w:color w:val="000000"/>
                <w:kern w:val="0"/>
                <w:sz w:val="20"/>
                <w:szCs w:val="20"/>
              </w:rPr>
              <w:t>第二十条第（八）项</w:t>
            </w:r>
          </w:p>
        </w:tc>
      </w:tr>
      <w:tr>
        <w:tblPrEx>
          <w:tblLayout w:type="fixed"/>
          <w:tblCellMar>
            <w:top w:w="0" w:type="dxa"/>
            <w:left w:w="0" w:type="dxa"/>
            <w:bottom w:w="0" w:type="dxa"/>
            <w:right w:w="0" w:type="dxa"/>
          </w:tblCellMar>
        </w:tblPrEx>
        <w:trPr>
          <w:trHeight w:val="370" w:hRule="atLeast"/>
          <w:jc w:val="center"/>
        </w:trPr>
        <w:tc>
          <w:tcPr>
            <w:tcW w:w="2435" w:type="dxa"/>
            <w:tcBorders>
              <w:top w:val="nil"/>
              <w:left w:val="single" w:color="auto" w:sz="8" w:space="0"/>
              <w:bottom w:val="single" w:color="auto" w:sz="8" w:space="0"/>
              <w:right w:val="single" w:color="auto" w:sz="8" w:space="0"/>
            </w:tcBorders>
            <w:shd w:val="clear" w:color="auto" w:fill="BDD7EE"/>
            <w:tcMar>
              <w:left w:w="57" w:type="dxa"/>
              <w:right w:w="57" w:type="dxa"/>
            </w:tcMar>
            <w:vAlign w:val="center"/>
          </w:tcPr>
          <w:p>
            <w:pPr>
              <w:widowControl/>
              <w:jc w:val="center"/>
            </w:pPr>
            <w:r>
              <w:rPr>
                <w:rFonts w:hint="eastAsia" w:ascii="宋体" w:hAnsi="宋体" w:cs="宋体"/>
                <w:color w:val="000000"/>
                <w:kern w:val="0"/>
                <w:sz w:val="20"/>
                <w:szCs w:val="20"/>
              </w:rPr>
              <w:t>信息内容</w:t>
            </w:r>
          </w:p>
        </w:tc>
        <w:tc>
          <w:tcPr>
            <w:tcW w:w="7305" w:type="dxa"/>
            <w:gridSpan w:val="3"/>
            <w:tcBorders>
              <w:top w:val="nil"/>
              <w:left w:val="nil"/>
              <w:bottom w:val="single" w:color="auto" w:sz="8" w:space="0"/>
              <w:right w:val="single" w:color="000000" w:sz="8" w:space="0"/>
            </w:tcBorders>
            <w:shd w:val="clear" w:color="auto" w:fill="DDEBF7"/>
            <w:tcMar>
              <w:left w:w="57" w:type="dxa"/>
              <w:right w:w="57" w:type="dxa"/>
            </w:tcMar>
            <w:vAlign w:val="center"/>
          </w:tcPr>
          <w:p>
            <w:pPr>
              <w:widowControl/>
              <w:jc w:val="center"/>
            </w:pPr>
            <w:r>
              <w:rPr>
                <w:rFonts w:hint="eastAsia" w:ascii="宋体" w:hAnsi="宋体" w:cs="宋体"/>
                <w:color w:val="000000"/>
                <w:kern w:val="0"/>
                <w:sz w:val="20"/>
                <w:szCs w:val="20"/>
              </w:rPr>
              <w:t>本年收费金额（单位：万元）</w:t>
            </w:r>
          </w:p>
        </w:tc>
      </w:tr>
      <w:tr>
        <w:tblPrEx>
          <w:tblLayout w:type="fixed"/>
          <w:tblCellMar>
            <w:top w:w="0" w:type="dxa"/>
            <w:left w:w="0" w:type="dxa"/>
            <w:bottom w:w="0" w:type="dxa"/>
            <w:right w:w="0" w:type="dxa"/>
          </w:tblCellMar>
        </w:tblPrEx>
        <w:trPr>
          <w:trHeight w:val="340" w:hRule="atLeast"/>
          <w:jc w:val="center"/>
        </w:trPr>
        <w:tc>
          <w:tcPr>
            <w:tcW w:w="2435" w:type="dxa"/>
            <w:tcBorders>
              <w:top w:val="nil"/>
              <w:left w:val="single" w:color="auto" w:sz="8" w:space="0"/>
              <w:bottom w:val="single" w:color="auto" w:sz="8" w:space="0"/>
              <w:right w:val="single" w:color="auto" w:sz="8" w:space="0"/>
            </w:tcBorders>
            <w:shd w:val="clear" w:color="auto" w:fill="BDD7EE"/>
            <w:tcMar>
              <w:left w:w="57" w:type="dxa"/>
              <w:right w:w="57" w:type="dxa"/>
            </w:tcMar>
            <w:vAlign w:val="center"/>
          </w:tcPr>
          <w:p>
            <w:pPr>
              <w:widowControl/>
              <w:jc w:val="left"/>
            </w:pPr>
            <w:r>
              <w:rPr>
                <w:rFonts w:hint="eastAsia" w:ascii="宋体" w:hAnsi="宋体" w:cs="宋体"/>
                <w:color w:val="000000"/>
                <w:kern w:val="0"/>
                <w:sz w:val="20"/>
                <w:szCs w:val="20"/>
              </w:rPr>
              <w:t>行政事业性收费</w:t>
            </w:r>
          </w:p>
        </w:tc>
        <w:tc>
          <w:tcPr>
            <w:tcW w:w="7305" w:type="dxa"/>
            <w:gridSpan w:val="3"/>
            <w:tcBorders>
              <w:top w:val="nil"/>
              <w:left w:val="nil"/>
              <w:bottom w:val="single" w:color="auto" w:sz="8" w:space="0"/>
              <w:right w:val="single" w:color="000000" w:sz="8" w:space="0"/>
            </w:tcBorders>
            <w:tcMar>
              <w:left w:w="57" w:type="dxa"/>
              <w:right w:w="57" w:type="dxa"/>
            </w:tcMar>
            <w:vAlign w:val="center"/>
          </w:tcPr>
          <w:p>
            <w:pPr>
              <w:jc w:val="center"/>
              <w:rPr>
                <w:rFonts w:ascii="宋体"/>
                <w:sz w:val="24"/>
                <w:lang w:val="en-US"/>
              </w:rPr>
            </w:pPr>
            <w:r>
              <w:rPr>
                <w:rFonts w:hint="eastAsia" w:ascii="宋体" w:hAnsi="宋体" w:cs="宋体"/>
                <w:color w:val="000000"/>
                <w:kern w:val="0"/>
                <w:sz w:val="20"/>
                <w:szCs w:val="20"/>
                <w:lang w:val="en-US" w:eastAsia="zh-CN" w:bidi="ar"/>
              </w:rPr>
              <w:t>258.6403</w:t>
            </w:r>
          </w:p>
        </w:tc>
      </w:tr>
    </w:tbl>
    <w:p>
      <w:pPr>
        <w:spacing w:line="600" w:lineRule="exact"/>
        <w:ind w:firstLine="640" w:firstLineChars="200"/>
        <w:rPr>
          <w:bCs/>
        </w:rPr>
      </w:pPr>
      <w:r>
        <w:rPr>
          <w:rFonts w:hint="eastAsia" w:ascii="黑体" w:hAnsi="黑体" w:eastAsia="黑体"/>
          <w:bCs/>
          <w:sz w:val="32"/>
          <w:szCs w:val="32"/>
        </w:rPr>
        <w:t>三、收到和处理政府信息公开申请情况</w:t>
      </w:r>
    </w:p>
    <w:tbl>
      <w:tblPr>
        <w:tblStyle w:val="7"/>
        <w:tblW w:w="9748" w:type="dxa"/>
        <w:jc w:val="center"/>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
      <w:tblGrid>
        <w:gridCol w:w="768"/>
        <w:gridCol w:w="943"/>
        <w:gridCol w:w="3220"/>
        <w:gridCol w:w="688"/>
        <w:gridCol w:w="688"/>
        <w:gridCol w:w="688"/>
        <w:gridCol w:w="688"/>
        <w:gridCol w:w="688"/>
        <w:gridCol w:w="688"/>
        <w:gridCol w:w="68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931" w:type="dxa"/>
            <w:gridSpan w:val="3"/>
            <w:vMerge w:val="restart"/>
            <w:tcBorders>
              <w:top w:val="single" w:color="auto" w:sz="4" w:space="0"/>
              <w:left w:val="single" w:color="auto" w:sz="4" w:space="0"/>
              <w:bottom w:val="single" w:color="auto" w:sz="4" w:space="0"/>
              <w:right w:val="single" w:color="auto" w:sz="4" w:space="0"/>
            </w:tcBorders>
            <w:shd w:val="clear" w:color="auto" w:fill="9BC2E6"/>
            <w:tcMar>
              <w:left w:w="108" w:type="dxa"/>
              <w:right w:w="108" w:type="dxa"/>
            </w:tcMar>
            <w:vAlign w:val="center"/>
          </w:tcPr>
          <w:p>
            <w:pPr>
              <w:widowControl/>
              <w:jc w:val="left"/>
            </w:pPr>
            <w:r>
              <w:rPr>
                <w:rFonts w:ascii="楷体" w:hAnsi="楷体" w:eastAsia="楷体" w:cs="楷体"/>
                <w:kern w:val="0"/>
                <w:sz w:val="20"/>
                <w:szCs w:val="20"/>
              </w:rPr>
              <w:t>（本列数据的勾稽关系为：第一项加第二项之和，等于第三项加第四项之和）</w:t>
            </w:r>
          </w:p>
        </w:tc>
        <w:tc>
          <w:tcPr>
            <w:tcW w:w="4817" w:type="dxa"/>
            <w:gridSpan w:val="7"/>
            <w:tcBorders>
              <w:top w:val="single" w:color="auto" w:sz="4" w:space="0"/>
              <w:left w:val="single" w:color="auto" w:sz="4" w:space="0"/>
              <w:bottom w:val="single" w:color="auto" w:sz="4" w:space="0"/>
              <w:right w:val="single" w:color="auto" w:sz="4" w:space="0"/>
            </w:tcBorders>
            <w:shd w:val="clear" w:color="auto" w:fill="9BC2E6"/>
            <w:tcMar>
              <w:left w:w="57" w:type="dxa"/>
              <w:right w:w="57" w:type="dxa"/>
            </w:tcMar>
            <w:vAlign w:val="center"/>
          </w:tcPr>
          <w:p>
            <w:pPr>
              <w:widowControl/>
              <w:jc w:val="center"/>
            </w:pPr>
            <w:r>
              <w:rPr>
                <w:rFonts w:hint="eastAsia" w:ascii="宋体" w:hAnsi="宋体" w:cs="宋体"/>
                <w:kern w:val="0"/>
                <w:sz w:val="20"/>
                <w:szCs w:val="20"/>
              </w:rPr>
              <w:t>申请人情况</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931" w:type="dxa"/>
            <w:gridSpan w:val="3"/>
            <w:vMerge w:val="continue"/>
            <w:tcBorders>
              <w:top w:val="single" w:color="auto" w:sz="4" w:space="0"/>
              <w:left w:val="single" w:color="auto" w:sz="4" w:space="0"/>
              <w:bottom w:val="single" w:color="auto" w:sz="4" w:space="0"/>
              <w:right w:val="single" w:color="auto" w:sz="4" w:space="0"/>
            </w:tcBorders>
            <w:shd w:val="clear" w:color="auto" w:fill="9BC2E6"/>
            <w:tcMar>
              <w:left w:w="108" w:type="dxa"/>
              <w:right w:w="108" w:type="dxa"/>
            </w:tcMar>
            <w:vAlign w:val="center"/>
          </w:tcPr>
          <w:p>
            <w:pPr>
              <w:rPr>
                <w:rFonts w:ascii="宋体"/>
                <w:sz w:val="24"/>
              </w:rPr>
            </w:pPr>
          </w:p>
        </w:tc>
        <w:tc>
          <w:tcPr>
            <w:tcW w:w="688" w:type="dxa"/>
            <w:vMerge w:val="restart"/>
            <w:tcBorders>
              <w:top w:val="single" w:color="auto" w:sz="4" w:space="0"/>
              <w:left w:val="single" w:color="auto" w:sz="4" w:space="0"/>
              <w:bottom w:val="single" w:color="auto" w:sz="4" w:space="0"/>
              <w:right w:val="single" w:color="auto" w:sz="4" w:space="0"/>
            </w:tcBorders>
            <w:shd w:val="clear" w:color="auto" w:fill="9BC2E6"/>
            <w:tcMar>
              <w:left w:w="57" w:type="dxa"/>
              <w:right w:w="57" w:type="dxa"/>
            </w:tcMar>
            <w:vAlign w:val="center"/>
          </w:tcPr>
          <w:p>
            <w:pPr>
              <w:widowControl/>
              <w:jc w:val="center"/>
            </w:pPr>
            <w:r>
              <w:rPr>
                <w:rFonts w:hint="eastAsia" w:ascii="宋体" w:hAnsi="宋体" w:cs="宋体"/>
                <w:kern w:val="0"/>
                <w:sz w:val="20"/>
                <w:szCs w:val="20"/>
              </w:rPr>
              <w:t>自然人</w:t>
            </w:r>
          </w:p>
        </w:tc>
        <w:tc>
          <w:tcPr>
            <w:tcW w:w="3440" w:type="dxa"/>
            <w:gridSpan w:val="5"/>
            <w:tcBorders>
              <w:top w:val="single" w:color="auto" w:sz="4" w:space="0"/>
              <w:left w:val="single" w:color="auto" w:sz="4" w:space="0"/>
              <w:bottom w:val="single" w:color="auto" w:sz="4" w:space="0"/>
              <w:right w:val="single" w:color="auto" w:sz="4" w:space="0"/>
            </w:tcBorders>
            <w:shd w:val="clear" w:color="auto" w:fill="9BC2E6"/>
            <w:tcMar>
              <w:left w:w="108" w:type="dxa"/>
              <w:right w:w="108" w:type="dxa"/>
            </w:tcMar>
            <w:vAlign w:val="center"/>
          </w:tcPr>
          <w:p>
            <w:pPr>
              <w:widowControl/>
              <w:tabs>
                <w:tab w:val="left" w:pos="429"/>
                <w:tab w:val="center" w:pos="1723"/>
              </w:tabs>
              <w:jc w:val="center"/>
            </w:pPr>
            <w:r>
              <w:rPr>
                <w:rFonts w:hint="eastAsia" w:ascii="宋体" w:hAnsi="宋体" w:cs="宋体"/>
                <w:kern w:val="0"/>
                <w:sz w:val="20"/>
                <w:szCs w:val="20"/>
              </w:rPr>
              <w:t>法人或其他组织</w:t>
            </w:r>
          </w:p>
        </w:tc>
        <w:tc>
          <w:tcPr>
            <w:tcW w:w="689" w:type="dxa"/>
            <w:vMerge w:val="restart"/>
            <w:tcBorders>
              <w:top w:val="single" w:color="auto" w:sz="4" w:space="0"/>
              <w:left w:val="single" w:color="auto" w:sz="4" w:space="0"/>
              <w:bottom w:val="single" w:color="auto" w:sz="4" w:space="0"/>
              <w:right w:val="single" w:color="auto" w:sz="4" w:space="0"/>
            </w:tcBorders>
            <w:shd w:val="clear" w:color="auto" w:fill="9BC2E6"/>
            <w:tcMar>
              <w:left w:w="108" w:type="dxa"/>
              <w:right w:w="108" w:type="dxa"/>
            </w:tcMar>
            <w:vAlign w:val="center"/>
          </w:tcPr>
          <w:p>
            <w:pPr>
              <w:widowControl/>
              <w:jc w:val="center"/>
            </w:pPr>
            <w:r>
              <w:rPr>
                <w:rFonts w:hint="eastAsia" w:ascii="宋体" w:hAnsi="宋体" w:cs="宋体"/>
                <w:kern w:val="0"/>
                <w:sz w:val="20"/>
                <w:szCs w:val="20"/>
              </w:rPr>
              <w:t>总计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931" w:type="dxa"/>
            <w:gridSpan w:val="3"/>
            <w:vMerge w:val="continue"/>
            <w:tcBorders>
              <w:top w:val="single" w:color="auto" w:sz="4" w:space="0"/>
              <w:left w:val="single" w:color="auto" w:sz="4" w:space="0"/>
              <w:bottom w:val="single" w:color="auto" w:sz="4" w:space="0"/>
              <w:right w:val="single" w:color="auto" w:sz="4" w:space="0"/>
            </w:tcBorders>
            <w:shd w:val="clear" w:color="auto" w:fill="9BC2E6"/>
            <w:tcMar>
              <w:left w:w="108" w:type="dxa"/>
              <w:right w:w="108" w:type="dxa"/>
            </w:tcMar>
            <w:vAlign w:val="center"/>
          </w:tcPr>
          <w:p>
            <w:pPr>
              <w:rPr>
                <w:rFonts w:ascii="宋体"/>
                <w:sz w:val="24"/>
              </w:rPr>
            </w:pPr>
          </w:p>
        </w:tc>
        <w:tc>
          <w:tcPr>
            <w:tcW w:w="688" w:type="dxa"/>
            <w:vMerge w:val="continue"/>
            <w:tcBorders>
              <w:top w:val="single" w:color="auto" w:sz="4" w:space="0"/>
              <w:left w:val="single" w:color="auto" w:sz="4" w:space="0"/>
              <w:bottom w:val="single" w:color="auto" w:sz="4" w:space="0"/>
              <w:right w:val="single" w:color="auto" w:sz="4" w:space="0"/>
            </w:tcBorders>
            <w:shd w:val="clear" w:color="auto" w:fill="9BC2E6"/>
            <w:tcMar>
              <w:left w:w="57" w:type="dxa"/>
              <w:right w:w="57" w:type="dxa"/>
            </w:tcMar>
            <w:vAlign w:val="center"/>
          </w:tcPr>
          <w:p>
            <w:pPr>
              <w:rPr>
                <w:rFonts w:ascii="宋体"/>
                <w:sz w:val="24"/>
              </w:rPr>
            </w:pPr>
          </w:p>
        </w:tc>
        <w:tc>
          <w:tcPr>
            <w:tcW w:w="688" w:type="dxa"/>
            <w:tcBorders>
              <w:top w:val="single" w:color="auto" w:sz="4" w:space="0"/>
              <w:left w:val="single" w:color="auto" w:sz="4" w:space="0"/>
              <w:bottom w:val="single" w:color="auto" w:sz="4" w:space="0"/>
              <w:right w:val="single" w:color="auto" w:sz="4" w:space="0"/>
            </w:tcBorders>
            <w:shd w:val="clear" w:color="auto" w:fill="9BC2E6"/>
            <w:tcMar>
              <w:left w:w="108" w:type="dxa"/>
              <w:right w:w="108" w:type="dxa"/>
            </w:tcMar>
            <w:vAlign w:val="center"/>
          </w:tcPr>
          <w:p>
            <w:pPr>
              <w:widowControl/>
              <w:jc w:val="center"/>
            </w:pPr>
            <w:r>
              <w:rPr>
                <w:rFonts w:hint="eastAsia" w:ascii="宋体" w:hAnsi="宋体" w:cs="宋体"/>
                <w:kern w:val="0"/>
                <w:sz w:val="20"/>
                <w:szCs w:val="20"/>
              </w:rPr>
              <w:t>商业</w:t>
            </w:r>
          </w:p>
          <w:p>
            <w:pPr>
              <w:widowControl/>
              <w:jc w:val="center"/>
            </w:pPr>
            <w:r>
              <w:rPr>
                <w:rFonts w:hint="eastAsia" w:ascii="宋体" w:hAnsi="宋体" w:cs="宋体"/>
                <w:kern w:val="0"/>
                <w:sz w:val="20"/>
                <w:szCs w:val="20"/>
              </w:rPr>
              <w:t>企业</w:t>
            </w:r>
          </w:p>
        </w:tc>
        <w:tc>
          <w:tcPr>
            <w:tcW w:w="688" w:type="dxa"/>
            <w:tcBorders>
              <w:top w:val="single" w:color="auto" w:sz="4" w:space="0"/>
              <w:left w:val="single" w:color="auto" w:sz="4" w:space="0"/>
              <w:bottom w:val="single" w:color="auto" w:sz="4" w:space="0"/>
              <w:right w:val="single" w:color="auto" w:sz="4" w:space="0"/>
            </w:tcBorders>
            <w:shd w:val="clear" w:color="auto" w:fill="9BC2E6"/>
            <w:tcMar>
              <w:left w:w="108" w:type="dxa"/>
              <w:right w:w="108" w:type="dxa"/>
            </w:tcMar>
            <w:vAlign w:val="center"/>
          </w:tcPr>
          <w:p>
            <w:pPr>
              <w:widowControl/>
              <w:jc w:val="center"/>
            </w:pPr>
            <w:r>
              <w:rPr>
                <w:rFonts w:hint="eastAsia" w:ascii="宋体" w:hAnsi="宋体" w:cs="宋体"/>
                <w:kern w:val="0"/>
                <w:sz w:val="20"/>
                <w:szCs w:val="20"/>
              </w:rPr>
              <w:t>科研</w:t>
            </w:r>
          </w:p>
          <w:p>
            <w:pPr>
              <w:widowControl/>
              <w:jc w:val="center"/>
            </w:pPr>
            <w:r>
              <w:rPr>
                <w:rFonts w:hint="eastAsia" w:ascii="宋体" w:hAnsi="宋体" w:cs="宋体"/>
                <w:kern w:val="0"/>
                <w:sz w:val="20"/>
                <w:szCs w:val="20"/>
              </w:rPr>
              <w:t>机构</w:t>
            </w:r>
          </w:p>
        </w:tc>
        <w:tc>
          <w:tcPr>
            <w:tcW w:w="688" w:type="dxa"/>
            <w:tcBorders>
              <w:top w:val="single" w:color="auto" w:sz="4" w:space="0"/>
              <w:left w:val="single" w:color="auto" w:sz="4" w:space="0"/>
              <w:bottom w:val="single" w:color="auto" w:sz="4" w:space="0"/>
              <w:right w:val="single" w:color="auto" w:sz="4" w:space="0"/>
            </w:tcBorders>
            <w:shd w:val="clear" w:color="auto" w:fill="9BC2E6"/>
            <w:tcMar>
              <w:left w:w="108" w:type="dxa"/>
              <w:right w:w="108" w:type="dxa"/>
            </w:tcMar>
            <w:vAlign w:val="center"/>
          </w:tcPr>
          <w:p>
            <w:pPr>
              <w:widowControl/>
              <w:jc w:val="center"/>
            </w:pPr>
            <w:r>
              <w:rPr>
                <w:rFonts w:hint="eastAsia" w:ascii="宋体" w:hAnsi="宋体" w:cs="宋体"/>
                <w:kern w:val="0"/>
                <w:sz w:val="20"/>
                <w:szCs w:val="20"/>
              </w:rPr>
              <w:t>社会公益组织</w:t>
            </w:r>
          </w:p>
        </w:tc>
        <w:tc>
          <w:tcPr>
            <w:tcW w:w="688" w:type="dxa"/>
            <w:tcBorders>
              <w:top w:val="single" w:color="auto" w:sz="4" w:space="0"/>
              <w:left w:val="single" w:color="auto" w:sz="4" w:space="0"/>
              <w:bottom w:val="single" w:color="auto" w:sz="4" w:space="0"/>
              <w:right w:val="single" w:color="auto" w:sz="4" w:space="0"/>
            </w:tcBorders>
            <w:shd w:val="clear" w:color="auto" w:fill="9BC2E6"/>
            <w:tcMar>
              <w:left w:w="108" w:type="dxa"/>
              <w:right w:w="108" w:type="dxa"/>
            </w:tcMar>
            <w:vAlign w:val="center"/>
          </w:tcPr>
          <w:p>
            <w:pPr>
              <w:widowControl/>
              <w:jc w:val="center"/>
            </w:pPr>
            <w:r>
              <w:rPr>
                <w:rFonts w:hint="eastAsia" w:ascii="宋体" w:hAnsi="宋体" w:cs="宋体"/>
                <w:kern w:val="0"/>
                <w:sz w:val="20"/>
                <w:szCs w:val="20"/>
              </w:rPr>
              <w:t>法律服务机构</w:t>
            </w:r>
          </w:p>
        </w:tc>
        <w:tc>
          <w:tcPr>
            <w:tcW w:w="688" w:type="dxa"/>
            <w:tcBorders>
              <w:top w:val="single" w:color="auto" w:sz="4" w:space="0"/>
              <w:left w:val="single" w:color="auto" w:sz="4" w:space="0"/>
              <w:bottom w:val="single" w:color="auto" w:sz="4" w:space="0"/>
              <w:right w:val="single" w:color="auto" w:sz="4" w:space="0"/>
            </w:tcBorders>
            <w:shd w:val="clear" w:color="auto" w:fill="9BC2E6"/>
            <w:tcMar>
              <w:left w:w="108" w:type="dxa"/>
              <w:right w:w="108" w:type="dxa"/>
            </w:tcMar>
            <w:vAlign w:val="center"/>
          </w:tcPr>
          <w:p>
            <w:pPr>
              <w:widowControl/>
              <w:jc w:val="center"/>
            </w:pPr>
            <w:r>
              <w:rPr>
                <w:rFonts w:hint="eastAsia" w:ascii="宋体" w:hAnsi="宋体" w:cs="宋体"/>
                <w:kern w:val="0"/>
                <w:sz w:val="20"/>
                <w:szCs w:val="20"/>
              </w:rPr>
              <w:t>其他</w:t>
            </w:r>
          </w:p>
        </w:tc>
        <w:tc>
          <w:tcPr>
            <w:tcW w:w="689" w:type="dxa"/>
            <w:vMerge w:val="continue"/>
            <w:tcBorders>
              <w:top w:val="single" w:color="auto" w:sz="4" w:space="0"/>
              <w:left w:val="single" w:color="auto" w:sz="4" w:space="0"/>
              <w:bottom w:val="single" w:color="auto" w:sz="4" w:space="0"/>
              <w:right w:val="single" w:color="auto" w:sz="4" w:space="0"/>
            </w:tcBorders>
            <w:shd w:val="clear" w:color="auto" w:fill="9BC2E6"/>
            <w:tcMar>
              <w:left w:w="108" w:type="dxa"/>
              <w:right w:w="108" w:type="dxa"/>
            </w:tcMar>
            <w:vAlign w:val="center"/>
          </w:tcPr>
          <w:p>
            <w:pPr>
              <w:rPr>
                <w:rFonts w:ascii="宋体"/>
                <w:sz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931" w:type="dxa"/>
            <w:gridSpan w:val="3"/>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widowControl/>
              <w:jc w:val="left"/>
            </w:pPr>
            <w:r>
              <w:rPr>
                <w:rFonts w:hint="eastAsia" w:ascii="宋体" w:hAnsi="宋体" w:cs="宋体"/>
                <w:kern w:val="0"/>
                <w:sz w:val="20"/>
                <w:szCs w:val="20"/>
              </w:rPr>
              <w:t>一、本年新收政府信息公开申请数量</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24</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24</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931" w:type="dxa"/>
            <w:gridSpan w:val="3"/>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widowControl/>
              <w:jc w:val="left"/>
            </w:pPr>
            <w:r>
              <w:rPr>
                <w:rFonts w:hint="eastAsia" w:ascii="宋体" w:hAnsi="宋体" w:cs="宋体"/>
                <w:kern w:val="0"/>
                <w:sz w:val="20"/>
                <w:szCs w:val="20"/>
              </w:rPr>
              <w:t>二、上年结转政府信息公开申请数量</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768" w:type="dxa"/>
            <w:vMerge w:val="restart"/>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widowControl/>
              <w:jc w:val="left"/>
            </w:pPr>
            <w:r>
              <w:rPr>
                <w:rFonts w:hint="eastAsia" w:ascii="宋体" w:hAnsi="宋体" w:cs="宋体"/>
                <w:kern w:val="0"/>
                <w:sz w:val="20"/>
                <w:szCs w:val="20"/>
              </w:rPr>
              <w:t>三、本年度办理结果</w:t>
            </w:r>
          </w:p>
        </w:tc>
        <w:tc>
          <w:tcPr>
            <w:tcW w:w="4163" w:type="dxa"/>
            <w:gridSpan w:val="2"/>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widowControl/>
              <w:jc w:val="left"/>
            </w:pPr>
            <w:r>
              <w:rPr>
                <w:rFonts w:hint="eastAsia" w:ascii="宋体" w:hAnsi="宋体" w:cs="宋体"/>
                <w:kern w:val="0"/>
                <w:sz w:val="20"/>
                <w:szCs w:val="20"/>
              </w:rPr>
              <w:t>（一）予以公开</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8</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8</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rPr>
                <w:rFonts w:ascii="宋体"/>
                <w:sz w:val="24"/>
              </w:rPr>
            </w:pPr>
          </w:p>
        </w:tc>
        <w:tc>
          <w:tcPr>
            <w:tcW w:w="4163" w:type="dxa"/>
            <w:gridSpan w:val="2"/>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widowControl/>
              <w:jc w:val="left"/>
            </w:pPr>
            <w:r>
              <w:rPr>
                <w:rFonts w:hint="eastAsia" w:ascii="宋体" w:hAnsi="宋体" w:cs="宋体"/>
                <w:kern w:val="0"/>
                <w:sz w:val="20"/>
                <w:szCs w:val="20"/>
              </w:rPr>
              <w:t>（二）部分公开</w:t>
            </w:r>
            <w:r>
              <w:rPr>
                <w:rFonts w:ascii="楷体" w:hAnsi="楷体" w:eastAsia="楷体" w:cs="楷体"/>
                <w:kern w:val="0"/>
                <w:sz w:val="20"/>
                <w:szCs w:val="20"/>
              </w:rPr>
              <w:t>（区分处理的，只计这一情形，不计其他情形）</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rPr>
                <w:rFonts w:ascii="宋体"/>
                <w:sz w:val="24"/>
              </w:rPr>
            </w:pPr>
          </w:p>
        </w:tc>
        <w:tc>
          <w:tcPr>
            <w:tcW w:w="943" w:type="dxa"/>
            <w:vMerge w:val="restart"/>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widowControl/>
              <w:jc w:val="left"/>
            </w:pPr>
            <w:r>
              <w:rPr>
                <w:rFonts w:hint="eastAsia" w:ascii="宋体" w:hAnsi="宋体" w:cs="宋体"/>
                <w:kern w:val="0"/>
                <w:sz w:val="20"/>
                <w:szCs w:val="20"/>
              </w:rPr>
              <w:t>（三）不予公开</w:t>
            </w: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pPr>
              <w:widowControl/>
              <w:jc w:val="left"/>
            </w:pPr>
            <w:r>
              <w:rPr>
                <w:rFonts w:hint="eastAsia" w:ascii="宋体" w:hAnsi="宋体" w:cs="宋体"/>
                <w:kern w:val="0"/>
                <w:sz w:val="20"/>
                <w:szCs w:val="20"/>
              </w:rPr>
              <w:t>1.属于国家秘密</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rPr>
                <w:rFonts w:ascii="宋体"/>
                <w:sz w:val="24"/>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rPr>
                <w:rFonts w:ascii="宋体"/>
                <w:sz w:val="24"/>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pPr>
              <w:widowControl/>
              <w:jc w:val="left"/>
            </w:pPr>
            <w:r>
              <w:rPr>
                <w:rFonts w:hint="eastAsia" w:ascii="宋体" w:hAnsi="宋体" w:cs="宋体"/>
                <w:kern w:val="0"/>
                <w:sz w:val="20"/>
                <w:szCs w:val="20"/>
              </w:rPr>
              <w:t>2.其他法律行政法规禁止公开</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rPr>
                <w:rFonts w:ascii="宋体"/>
                <w:sz w:val="24"/>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rPr>
                <w:rFonts w:ascii="宋体"/>
                <w:sz w:val="24"/>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pPr>
              <w:widowControl/>
              <w:jc w:val="left"/>
            </w:pPr>
            <w:r>
              <w:rPr>
                <w:rFonts w:hint="eastAsia" w:ascii="宋体" w:hAnsi="宋体" w:cs="宋体"/>
                <w:kern w:val="0"/>
                <w:sz w:val="20"/>
                <w:szCs w:val="20"/>
              </w:rPr>
              <w:t>3.危及“三安全一稳定”</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rPr>
                <w:rFonts w:ascii="宋体"/>
                <w:sz w:val="24"/>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rPr>
                <w:rFonts w:ascii="宋体"/>
                <w:sz w:val="24"/>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pPr>
              <w:widowControl/>
              <w:jc w:val="left"/>
            </w:pPr>
            <w:r>
              <w:rPr>
                <w:rFonts w:hint="eastAsia" w:ascii="宋体" w:hAnsi="宋体" w:cs="宋体"/>
                <w:kern w:val="0"/>
                <w:sz w:val="20"/>
                <w:szCs w:val="20"/>
              </w:rPr>
              <w:t>4.保护第三方合法权益</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rPr>
                <w:rFonts w:ascii="宋体"/>
                <w:sz w:val="24"/>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rPr>
                <w:rFonts w:ascii="宋体"/>
                <w:sz w:val="24"/>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pPr>
              <w:widowControl/>
              <w:jc w:val="left"/>
            </w:pPr>
            <w:r>
              <w:rPr>
                <w:rFonts w:hint="eastAsia" w:ascii="宋体" w:hAnsi="宋体" w:cs="宋体"/>
                <w:kern w:val="0"/>
                <w:sz w:val="20"/>
                <w:szCs w:val="20"/>
              </w:rPr>
              <w:t>5.属于三类内部事务信息</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2</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rPr>
                <w:rFonts w:ascii="宋体"/>
                <w:sz w:val="24"/>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rPr>
                <w:rFonts w:ascii="宋体"/>
                <w:sz w:val="24"/>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pPr>
              <w:widowControl/>
              <w:jc w:val="left"/>
            </w:pPr>
            <w:r>
              <w:rPr>
                <w:rFonts w:hint="eastAsia" w:ascii="宋体" w:hAnsi="宋体" w:cs="宋体"/>
                <w:kern w:val="0"/>
                <w:sz w:val="20"/>
                <w:szCs w:val="20"/>
              </w:rPr>
              <w:t>6.属于四类过程性信息</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rPr>
                <w:rFonts w:ascii="宋体"/>
                <w:sz w:val="24"/>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rPr>
                <w:rFonts w:ascii="宋体"/>
                <w:sz w:val="24"/>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pPr>
              <w:widowControl/>
              <w:jc w:val="left"/>
            </w:pPr>
            <w:r>
              <w:rPr>
                <w:rFonts w:hint="eastAsia" w:ascii="宋体" w:hAnsi="宋体" w:cs="宋体"/>
                <w:kern w:val="0"/>
                <w:sz w:val="20"/>
                <w:szCs w:val="20"/>
              </w:rPr>
              <w:t>7.属于行政执法案卷</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rPr>
                <w:rFonts w:ascii="宋体"/>
                <w:sz w:val="24"/>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rPr>
                <w:rFonts w:ascii="宋体"/>
                <w:sz w:val="24"/>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pPr>
              <w:widowControl/>
              <w:jc w:val="left"/>
            </w:pPr>
            <w:r>
              <w:rPr>
                <w:rFonts w:hint="eastAsia" w:ascii="宋体" w:hAnsi="宋体" w:cs="宋体"/>
                <w:kern w:val="0"/>
                <w:sz w:val="20"/>
                <w:szCs w:val="20"/>
              </w:rPr>
              <w:t>8.属于行政查询事项</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rPr>
                <w:rFonts w:ascii="宋体"/>
                <w:sz w:val="24"/>
              </w:rPr>
            </w:pPr>
          </w:p>
        </w:tc>
        <w:tc>
          <w:tcPr>
            <w:tcW w:w="943" w:type="dxa"/>
            <w:vMerge w:val="restart"/>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widowControl/>
              <w:jc w:val="left"/>
            </w:pPr>
            <w:r>
              <w:rPr>
                <w:rFonts w:hint="eastAsia" w:ascii="宋体" w:hAnsi="宋体" w:cs="宋体"/>
                <w:kern w:val="0"/>
                <w:sz w:val="20"/>
                <w:szCs w:val="20"/>
              </w:rPr>
              <w:t>（四）无法提供</w:t>
            </w: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pPr>
              <w:widowControl/>
              <w:jc w:val="left"/>
            </w:pPr>
            <w:r>
              <w:rPr>
                <w:rFonts w:hint="eastAsia" w:ascii="宋体" w:hAnsi="宋体" w:cs="宋体"/>
                <w:kern w:val="0"/>
                <w:sz w:val="20"/>
                <w:szCs w:val="20"/>
              </w:rPr>
              <w:t>1.本机关不掌握相关政府信息</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rPr>
                <w:rFonts w:ascii="宋体"/>
                <w:sz w:val="24"/>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rPr>
                <w:rFonts w:ascii="宋体"/>
                <w:sz w:val="24"/>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pPr>
              <w:widowControl/>
              <w:jc w:val="left"/>
            </w:pPr>
            <w:r>
              <w:rPr>
                <w:rFonts w:hint="eastAsia" w:ascii="宋体" w:hAnsi="宋体" w:cs="宋体"/>
                <w:kern w:val="0"/>
                <w:sz w:val="20"/>
                <w:szCs w:val="20"/>
              </w:rPr>
              <w:t>2.没有现成信息需要另行制作</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rPr>
                <w:rFonts w:ascii="宋体"/>
                <w:sz w:val="24"/>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rPr>
                <w:rFonts w:ascii="宋体"/>
                <w:sz w:val="24"/>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pPr>
              <w:widowControl/>
              <w:jc w:val="left"/>
            </w:pPr>
            <w:r>
              <w:rPr>
                <w:rFonts w:hint="eastAsia" w:ascii="宋体" w:hAnsi="宋体" w:cs="宋体"/>
                <w:kern w:val="0"/>
                <w:sz w:val="20"/>
                <w:szCs w:val="20"/>
              </w:rPr>
              <w:t>3.补正后申请内容仍不明确</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rPr>
                <w:rFonts w:ascii="宋体"/>
                <w:sz w:val="24"/>
              </w:rPr>
            </w:pPr>
          </w:p>
        </w:tc>
        <w:tc>
          <w:tcPr>
            <w:tcW w:w="943" w:type="dxa"/>
            <w:vMerge w:val="restart"/>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widowControl/>
              <w:jc w:val="left"/>
            </w:pPr>
            <w:r>
              <w:rPr>
                <w:rFonts w:hint="eastAsia" w:ascii="宋体" w:hAnsi="宋体" w:cs="宋体"/>
                <w:kern w:val="0"/>
                <w:sz w:val="20"/>
                <w:szCs w:val="20"/>
              </w:rPr>
              <w:t>（五）不予处理</w:t>
            </w: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pPr>
              <w:widowControl/>
              <w:jc w:val="left"/>
            </w:pPr>
            <w:r>
              <w:rPr>
                <w:rFonts w:hint="eastAsia" w:ascii="宋体" w:hAnsi="宋体" w:cs="宋体"/>
                <w:kern w:val="0"/>
                <w:sz w:val="20"/>
                <w:szCs w:val="20"/>
              </w:rPr>
              <w:t>1.信访举报投诉类申请</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rPr>
                <w:rFonts w:ascii="宋体"/>
                <w:sz w:val="24"/>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rPr>
                <w:rFonts w:ascii="宋体"/>
                <w:sz w:val="24"/>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pPr>
              <w:widowControl/>
              <w:jc w:val="left"/>
            </w:pPr>
            <w:r>
              <w:rPr>
                <w:rFonts w:hint="eastAsia" w:ascii="宋体" w:hAnsi="宋体" w:cs="宋体"/>
                <w:kern w:val="0"/>
                <w:sz w:val="20"/>
                <w:szCs w:val="20"/>
              </w:rPr>
              <w:t>2.重复申请</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rPr>
                <w:rFonts w:ascii="宋体"/>
                <w:sz w:val="24"/>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rPr>
                <w:rFonts w:ascii="宋体"/>
                <w:sz w:val="24"/>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pPr>
              <w:widowControl/>
              <w:jc w:val="left"/>
            </w:pPr>
            <w:r>
              <w:rPr>
                <w:rFonts w:hint="eastAsia" w:ascii="宋体" w:hAnsi="宋体" w:cs="宋体"/>
                <w:kern w:val="0"/>
                <w:sz w:val="20"/>
                <w:szCs w:val="20"/>
              </w:rPr>
              <w:t>3.要求提供公开出版物</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rPr>
                <w:rFonts w:ascii="宋体"/>
                <w:sz w:val="24"/>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rPr>
                <w:rFonts w:ascii="宋体"/>
                <w:sz w:val="24"/>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tcPr>
          <w:p>
            <w:pPr>
              <w:widowControl/>
              <w:jc w:val="left"/>
            </w:pPr>
            <w:r>
              <w:rPr>
                <w:rFonts w:hint="eastAsia" w:ascii="宋体" w:hAnsi="宋体" w:cs="宋体"/>
                <w:kern w:val="0"/>
                <w:sz w:val="20"/>
                <w:szCs w:val="20"/>
              </w:rPr>
              <w:t>4.无正当理由大量反复申请</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trHeight w:val="779" w:hRule="atLeast"/>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rPr>
                <w:rFonts w:ascii="宋体"/>
                <w:sz w:val="24"/>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rPr>
                <w:rFonts w:ascii="宋体"/>
                <w:sz w:val="24"/>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widowControl/>
            </w:pPr>
            <w:r>
              <w:rPr>
                <w:rFonts w:hint="eastAsia" w:ascii="宋体" w:hAnsi="宋体" w:cs="宋体"/>
                <w:kern w:val="0"/>
                <w:sz w:val="20"/>
                <w:szCs w:val="20"/>
              </w:rPr>
              <w:t>5.要求行政机关确认或重新出具已获取信息</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rPr>
                <w:rFonts w:ascii="宋体"/>
                <w:sz w:val="24"/>
              </w:rPr>
            </w:pPr>
          </w:p>
        </w:tc>
        <w:tc>
          <w:tcPr>
            <w:tcW w:w="943" w:type="dxa"/>
            <w:vMerge w:val="restart"/>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widowControl/>
              <w:jc w:val="left"/>
            </w:pPr>
            <w:r>
              <w:rPr>
                <w:rFonts w:hint="eastAsia" w:ascii="宋体" w:hAnsi="宋体" w:cs="宋体"/>
                <w:kern w:val="0"/>
                <w:sz w:val="20"/>
                <w:szCs w:val="20"/>
              </w:rPr>
              <w:t>（六）其他处理</w:t>
            </w: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widowControl/>
            </w:pPr>
            <w:r>
              <w:rPr>
                <w:rFonts w:hint="eastAsia" w:ascii="宋体" w:hAnsi="宋体" w:cs="宋体"/>
                <w:kern w:val="0"/>
                <w:sz w:val="20"/>
                <w:szCs w:val="20"/>
              </w:rPr>
              <w:t>1.申请人无正当理由逾期不补正、行政机关不再处理其政府信息公开申请</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rPr>
                <w:rFonts w:ascii="宋体"/>
                <w:sz w:val="24"/>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rPr>
                <w:rFonts w:ascii="宋体"/>
                <w:sz w:val="24"/>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widowControl/>
            </w:pPr>
            <w:r>
              <w:rPr>
                <w:rFonts w:hint="eastAsia" w:ascii="宋体" w:hAnsi="宋体" w:cs="宋体"/>
                <w:kern w:val="0"/>
                <w:sz w:val="20"/>
                <w:szCs w:val="20"/>
              </w:rPr>
              <w:t>2.申请人逾期未按收费通知要求缴纳费用、行政机关不再处理其政府信息公开申请</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rPr>
                <w:rFonts w:ascii="宋体"/>
                <w:sz w:val="24"/>
              </w:rPr>
            </w:pPr>
          </w:p>
        </w:tc>
        <w:tc>
          <w:tcPr>
            <w:tcW w:w="943" w:type="dxa"/>
            <w:vMerge w:val="continue"/>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rPr>
                <w:rFonts w:ascii="宋体"/>
                <w:sz w:val="24"/>
              </w:rPr>
            </w:pPr>
          </w:p>
        </w:tc>
        <w:tc>
          <w:tcPr>
            <w:tcW w:w="3220" w:type="dxa"/>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widowControl/>
              <w:jc w:val="left"/>
            </w:pPr>
            <w:r>
              <w:rPr>
                <w:rFonts w:hint="eastAsia" w:ascii="宋体" w:hAnsi="宋体" w:cs="宋体"/>
                <w:kern w:val="0"/>
                <w:sz w:val="20"/>
                <w:szCs w:val="20"/>
              </w:rPr>
              <w:t>3.其他</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768" w:type="dxa"/>
            <w:vMerge w:val="continue"/>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rPr>
                <w:rFonts w:ascii="宋体"/>
                <w:sz w:val="24"/>
              </w:rPr>
            </w:pPr>
          </w:p>
        </w:tc>
        <w:tc>
          <w:tcPr>
            <w:tcW w:w="4163" w:type="dxa"/>
            <w:gridSpan w:val="2"/>
            <w:tcBorders>
              <w:top w:val="single" w:color="auto" w:sz="4" w:space="0"/>
              <w:left w:val="single" w:color="auto" w:sz="4" w:space="0"/>
              <w:bottom w:val="single" w:color="auto" w:sz="4" w:space="0"/>
              <w:right w:val="single" w:color="auto" w:sz="4" w:space="0"/>
            </w:tcBorders>
            <w:shd w:val="clear" w:color="auto" w:fill="DDEBF7"/>
            <w:tcMar>
              <w:left w:w="57" w:type="dxa"/>
              <w:right w:w="57" w:type="dxa"/>
            </w:tcMar>
            <w:vAlign w:val="center"/>
          </w:tcPr>
          <w:p>
            <w:pPr>
              <w:widowControl/>
              <w:jc w:val="left"/>
            </w:pPr>
            <w:r>
              <w:rPr>
                <w:rFonts w:hint="eastAsia" w:ascii="宋体" w:hAnsi="宋体" w:cs="宋体"/>
                <w:kern w:val="0"/>
                <w:sz w:val="20"/>
                <w:szCs w:val="20"/>
              </w:rPr>
              <w:t>（七）总计</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23</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tcMar>
              <w:left w:w="57" w:type="dxa"/>
              <w:right w:w="57" w:type="dxa"/>
            </w:tcMar>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23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4931" w:type="dxa"/>
            <w:gridSpan w:val="3"/>
            <w:tcBorders>
              <w:top w:val="single" w:color="auto" w:sz="4" w:space="0"/>
              <w:left w:val="single" w:color="auto" w:sz="4" w:space="0"/>
              <w:bottom w:val="single" w:color="auto" w:sz="4" w:space="0"/>
              <w:right w:val="single" w:color="auto" w:sz="4" w:space="0"/>
            </w:tcBorders>
            <w:shd w:val="clear" w:color="auto" w:fill="BDD7EE"/>
            <w:tcMar>
              <w:left w:w="57" w:type="dxa"/>
              <w:right w:w="57" w:type="dxa"/>
            </w:tcMar>
            <w:vAlign w:val="center"/>
          </w:tcPr>
          <w:p>
            <w:pPr>
              <w:widowControl/>
              <w:jc w:val="left"/>
              <w:rPr>
                <w:rFonts w:cs="Calibri"/>
                <w:kern w:val="0"/>
                <w:sz w:val="20"/>
                <w:szCs w:val="20"/>
              </w:rPr>
            </w:pPr>
            <w:r>
              <w:rPr>
                <w:rFonts w:hint="eastAsia" w:cs="Calibri"/>
                <w:kern w:val="0"/>
                <w:sz w:val="20"/>
                <w:szCs w:val="20"/>
              </w:rPr>
              <w:t>四、结转下年度继续办理</w:t>
            </w:r>
          </w:p>
        </w:tc>
        <w:tc>
          <w:tcPr>
            <w:tcW w:w="68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c>
          <w:tcPr>
            <w:tcW w:w="68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0</w:t>
            </w:r>
          </w:p>
        </w:tc>
        <w:tc>
          <w:tcPr>
            <w:tcW w:w="68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kern w:val="0"/>
                <w:sz w:val="20"/>
                <w:szCs w:val="20"/>
                <w:lang w:val="en-US" w:eastAsia="zh-CN" w:bidi="ar"/>
              </w:rPr>
            </w:pPr>
            <w:r>
              <w:rPr>
                <w:rFonts w:hint="eastAsia" w:ascii="宋体" w:hAnsi="宋体" w:cs="宋体"/>
                <w:color w:val="000000"/>
                <w:kern w:val="0"/>
                <w:sz w:val="20"/>
                <w:szCs w:val="20"/>
                <w:lang w:val="en-US" w:eastAsia="zh-CN" w:bidi="ar"/>
              </w:rPr>
              <w:t>1</w:t>
            </w:r>
          </w:p>
        </w:tc>
      </w:tr>
    </w:tbl>
    <w:p>
      <w:pPr>
        <w:spacing w:line="600" w:lineRule="exact"/>
        <w:ind w:firstLine="640" w:firstLineChars="200"/>
        <w:rPr>
          <w:bCs/>
        </w:rPr>
      </w:pPr>
      <w:r>
        <w:rPr>
          <w:rFonts w:hint="eastAsia" w:ascii="黑体" w:hAnsi="黑体" w:eastAsia="黑体"/>
          <w:bCs/>
          <w:sz w:val="32"/>
          <w:szCs w:val="32"/>
        </w:rPr>
        <w:t>四、政府信息公开行政复议、行政诉讼情况</w:t>
      </w:r>
    </w:p>
    <w:tbl>
      <w:tblPr>
        <w:tblStyle w:val="7"/>
        <w:tblW w:w="9748" w:type="dxa"/>
        <w:jc w:val="center"/>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
      <w:tblGrid>
        <w:gridCol w:w="649"/>
        <w:gridCol w:w="649"/>
        <w:gridCol w:w="649"/>
        <w:gridCol w:w="649"/>
        <w:gridCol w:w="649"/>
        <w:gridCol w:w="649"/>
        <w:gridCol w:w="649"/>
        <w:gridCol w:w="650"/>
        <w:gridCol w:w="650"/>
        <w:gridCol w:w="650"/>
        <w:gridCol w:w="651"/>
        <w:gridCol w:w="651"/>
        <w:gridCol w:w="651"/>
        <w:gridCol w:w="651"/>
        <w:gridCol w:w="65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trHeight w:val="547" w:hRule="atLeast"/>
          <w:jc w:val="center"/>
        </w:trPr>
        <w:tc>
          <w:tcPr>
            <w:tcW w:w="3245" w:type="dxa"/>
            <w:gridSpan w:val="5"/>
            <w:tcBorders>
              <w:top w:val="single" w:color="auto" w:sz="8" w:space="0"/>
              <w:left w:val="single" w:color="auto" w:sz="8" w:space="0"/>
              <w:bottom w:val="single" w:color="auto" w:sz="8" w:space="0"/>
              <w:right w:val="single" w:color="auto" w:sz="8" w:space="0"/>
            </w:tcBorders>
            <w:shd w:val="clear" w:color="auto" w:fill="BDD7EE"/>
            <w:tcMar>
              <w:left w:w="108" w:type="dxa"/>
              <w:right w:w="108" w:type="dxa"/>
            </w:tcMar>
            <w:vAlign w:val="center"/>
          </w:tcPr>
          <w:p>
            <w:pPr>
              <w:widowControl/>
              <w:jc w:val="center"/>
            </w:pPr>
            <w:r>
              <w:rPr>
                <w:rFonts w:hint="eastAsia" w:ascii="宋体" w:hAnsi="宋体" w:cs="宋体"/>
                <w:kern w:val="0"/>
                <w:sz w:val="20"/>
                <w:szCs w:val="20"/>
              </w:rPr>
              <w:t>行政复议</w:t>
            </w:r>
          </w:p>
        </w:tc>
        <w:tc>
          <w:tcPr>
            <w:tcW w:w="6503" w:type="dxa"/>
            <w:gridSpan w:val="10"/>
            <w:tcBorders>
              <w:top w:val="single" w:color="auto" w:sz="8" w:space="0"/>
              <w:left w:val="single" w:color="auto" w:sz="8" w:space="0"/>
              <w:bottom w:val="single" w:color="auto" w:sz="8" w:space="0"/>
              <w:right w:val="single" w:color="auto" w:sz="8" w:space="0"/>
            </w:tcBorders>
            <w:shd w:val="clear" w:color="auto" w:fill="BDD7EE"/>
            <w:tcMar>
              <w:left w:w="108" w:type="dxa"/>
              <w:right w:w="108" w:type="dxa"/>
            </w:tcMar>
            <w:vAlign w:val="center"/>
          </w:tcPr>
          <w:p>
            <w:pPr>
              <w:widowControl/>
              <w:jc w:val="center"/>
            </w:pPr>
            <w:r>
              <w:rPr>
                <w:rFonts w:hint="eastAsia" w:ascii="宋体" w:hAnsi="宋体" w:cs="宋体"/>
                <w:kern w:val="0"/>
                <w:sz w:val="20"/>
                <w:szCs w:val="20"/>
              </w:rPr>
              <w:t>行政诉讼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trHeight w:val="582" w:hRule="atLeast"/>
          <w:jc w:val="center"/>
        </w:trPr>
        <w:tc>
          <w:tcPr>
            <w:tcW w:w="649" w:type="dxa"/>
            <w:vMerge w:val="restar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jc w:val="center"/>
            </w:pPr>
            <w:r>
              <w:rPr>
                <w:rFonts w:hint="eastAsia" w:ascii="宋体" w:hAnsi="宋体" w:cs="宋体"/>
                <w:kern w:val="0"/>
                <w:sz w:val="20"/>
                <w:szCs w:val="20"/>
              </w:rPr>
              <w:t>结果维持</w:t>
            </w:r>
          </w:p>
        </w:tc>
        <w:tc>
          <w:tcPr>
            <w:tcW w:w="649" w:type="dxa"/>
            <w:vMerge w:val="restart"/>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widowControl/>
              <w:jc w:val="center"/>
            </w:pPr>
            <w:r>
              <w:rPr>
                <w:rFonts w:hint="eastAsia" w:ascii="宋体" w:hAnsi="宋体" w:cs="宋体"/>
                <w:kern w:val="0"/>
                <w:sz w:val="20"/>
                <w:szCs w:val="20"/>
              </w:rPr>
              <w:t>结果</w:t>
            </w:r>
            <w:r>
              <w:rPr>
                <w:rFonts w:hint="eastAsia" w:ascii="宋体" w:hAnsi="宋体" w:cs="宋体"/>
                <w:kern w:val="0"/>
                <w:sz w:val="20"/>
                <w:szCs w:val="20"/>
              </w:rPr>
              <w:br w:type="textWrapping"/>
            </w:r>
            <w:r>
              <w:rPr>
                <w:rFonts w:hint="eastAsia" w:ascii="宋体" w:hAnsi="宋体" w:cs="宋体"/>
                <w:kern w:val="0"/>
                <w:sz w:val="20"/>
                <w:szCs w:val="20"/>
              </w:rPr>
              <w:t>纠正</w:t>
            </w:r>
          </w:p>
        </w:tc>
        <w:tc>
          <w:tcPr>
            <w:tcW w:w="649" w:type="dxa"/>
            <w:vMerge w:val="restart"/>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widowControl/>
              <w:jc w:val="center"/>
            </w:pPr>
            <w:r>
              <w:rPr>
                <w:rFonts w:hint="eastAsia" w:ascii="宋体" w:hAnsi="宋体" w:cs="宋体"/>
                <w:kern w:val="0"/>
                <w:sz w:val="20"/>
                <w:szCs w:val="20"/>
              </w:rPr>
              <w:t>其他</w:t>
            </w:r>
            <w:r>
              <w:rPr>
                <w:rFonts w:hint="eastAsia" w:ascii="宋体" w:hAnsi="宋体" w:cs="宋体"/>
                <w:kern w:val="0"/>
                <w:sz w:val="20"/>
                <w:szCs w:val="20"/>
              </w:rPr>
              <w:br w:type="textWrapping"/>
            </w:r>
            <w:r>
              <w:rPr>
                <w:rFonts w:hint="eastAsia" w:ascii="宋体" w:hAnsi="宋体" w:cs="宋体"/>
                <w:kern w:val="0"/>
                <w:sz w:val="20"/>
                <w:szCs w:val="20"/>
              </w:rPr>
              <w:t>结果</w:t>
            </w:r>
          </w:p>
        </w:tc>
        <w:tc>
          <w:tcPr>
            <w:tcW w:w="649" w:type="dxa"/>
            <w:vMerge w:val="restart"/>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widowControl/>
              <w:jc w:val="center"/>
            </w:pPr>
            <w:r>
              <w:rPr>
                <w:rFonts w:hint="eastAsia" w:ascii="宋体" w:hAnsi="宋体" w:cs="宋体"/>
                <w:kern w:val="0"/>
                <w:sz w:val="20"/>
                <w:szCs w:val="20"/>
              </w:rPr>
              <w:t>尚未</w:t>
            </w:r>
            <w:r>
              <w:rPr>
                <w:rFonts w:hint="eastAsia" w:ascii="宋体" w:hAnsi="宋体" w:cs="宋体"/>
                <w:kern w:val="0"/>
                <w:sz w:val="20"/>
                <w:szCs w:val="20"/>
              </w:rPr>
              <w:br w:type="textWrapping"/>
            </w:r>
            <w:r>
              <w:rPr>
                <w:rFonts w:hint="eastAsia" w:ascii="宋体" w:hAnsi="宋体" w:cs="宋体"/>
                <w:kern w:val="0"/>
                <w:sz w:val="20"/>
                <w:szCs w:val="20"/>
              </w:rPr>
              <w:t>审结</w:t>
            </w:r>
          </w:p>
        </w:tc>
        <w:tc>
          <w:tcPr>
            <w:tcW w:w="649" w:type="dxa"/>
            <w:vMerge w:val="restart"/>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widowControl/>
              <w:jc w:val="center"/>
            </w:pPr>
            <w:r>
              <w:rPr>
                <w:rFonts w:hint="eastAsia" w:ascii="宋体" w:hAnsi="宋体" w:cs="宋体"/>
                <w:kern w:val="0"/>
                <w:sz w:val="20"/>
                <w:szCs w:val="20"/>
              </w:rPr>
              <w:t>总计</w:t>
            </w:r>
          </w:p>
        </w:tc>
        <w:tc>
          <w:tcPr>
            <w:tcW w:w="3248" w:type="dxa"/>
            <w:gridSpan w:val="5"/>
            <w:tcBorders>
              <w:top w:val="single" w:color="auto" w:sz="8" w:space="0"/>
              <w:left w:val="single" w:color="auto" w:sz="8" w:space="0"/>
              <w:bottom w:val="single" w:color="auto" w:sz="8" w:space="0"/>
              <w:right w:val="single" w:color="auto" w:sz="8" w:space="0"/>
            </w:tcBorders>
            <w:shd w:val="clear" w:color="auto" w:fill="DDEBF7"/>
            <w:tcMar>
              <w:left w:w="108" w:type="dxa"/>
              <w:right w:w="108" w:type="dxa"/>
            </w:tcMar>
            <w:vAlign w:val="center"/>
          </w:tcPr>
          <w:p>
            <w:pPr>
              <w:widowControl/>
              <w:jc w:val="center"/>
            </w:pPr>
            <w:r>
              <w:rPr>
                <w:rFonts w:hint="eastAsia" w:ascii="宋体" w:hAnsi="宋体" w:cs="宋体"/>
                <w:kern w:val="0"/>
                <w:sz w:val="20"/>
                <w:szCs w:val="20"/>
              </w:rPr>
              <w:t>未经复议直接起诉</w:t>
            </w:r>
          </w:p>
        </w:tc>
        <w:tc>
          <w:tcPr>
            <w:tcW w:w="3255" w:type="dxa"/>
            <w:gridSpan w:val="5"/>
            <w:tcBorders>
              <w:top w:val="single" w:color="auto" w:sz="8" w:space="0"/>
              <w:left w:val="single" w:color="auto" w:sz="8" w:space="0"/>
              <w:bottom w:val="single" w:color="auto" w:sz="8" w:space="0"/>
              <w:right w:val="single" w:color="auto" w:sz="8" w:space="0"/>
            </w:tcBorders>
            <w:shd w:val="clear" w:color="auto" w:fill="DDEBF7"/>
            <w:tcMar>
              <w:left w:w="108" w:type="dxa"/>
              <w:right w:w="108" w:type="dxa"/>
            </w:tcMar>
            <w:vAlign w:val="center"/>
          </w:tcPr>
          <w:p>
            <w:pPr>
              <w:widowControl/>
              <w:jc w:val="center"/>
            </w:pPr>
            <w:r>
              <w:rPr>
                <w:rFonts w:hint="eastAsia" w:ascii="宋体" w:hAnsi="宋体" w:cs="宋体"/>
                <w:kern w:val="0"/>
                <w:sz w:val="20"/>
                <w:szCs w:val="20"/>
              </w:rPr>
              <w:t>复议后起诉</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trHeight w:val="714" w:hRule="atLeast"/>
          <w:jc w:val="center"/>
        </w:trPr>
        <w:tc>
          <w:tcPr>
            <w:tcW w:w="649"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rPr>
                <w:rFonts w:ascii="宋体"/>
                <w:sz w:val="24"/>
              </w:rPr>
            </w:pPr>
          </w:p>
        </w:tc>
        <w:tc>
          <w:tcPr>
            <w:tcW w:w="649" w:type="dxa"/>
            <w:vMerge w:val="continue"/>
            <w:tcBorders>
              <w:top w:val="nil"/>
              <w:left w:val="single" w:color="auto" w:sz="8" w:space="0"/>
              <w:bottom w:val="single" w:color="auto" w:sz="8" w:space="0"/>
              <w:right w:val="single" w:color="auto" w:sz="8" w:space="0"/>
            </w:tcBorders>
            <w:tcMar>
              <w:left w:w="108" w:type="dxa"/>
              <w:right w:w="108" w:type="dxa"/>
            </w:tcMar>
            <w:vAlign w:val="center"/>
          </w:tcPr>
          <w:p>
            <w:pPr>
              <w:rPr>
                <w:rFonts w:ascii="宋体"/>
                <w:sz w:val="24"/>
              </w:rPr>
            </w:pPr>
          </w:p>
        </w:tc>
        <w:tc>
          <w:tcPr>
            <w:tcW w:w="649" w:type="dxa"/>
            <w:vMerge w:val="continue"/>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rPr>
                <w:rFonts w:ascii="宋体"/>
                <w:sz w:val="24"/>
              </w:rPr>
            </w:pPr>
          </w:p>
        </w:tc>
        <w:tc>
          <w:tcPr>
            <w:tcW w:w="649" w:type="dxa"/>
            <w:vMerge w:val="continue"/>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rPr>
                <w:rFonts w:ascii="宋体"/>
                <w:sz w:val="24"/>
              </w:rPr>
            </w:pPr>
          </w:p>
        </w:tc>
        <w:tc>
          <w:tcPr>
            <w:tcW w:w="649" w:type="dxa"/>
            <w:vMerge w:val="continue"/>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rPr>
                <w:rFonts w:ascii="宋体"/>
                <w:sz w:val="24"/>
              </w:rPr>
            </w:pPr>
          </w:p>
        </w:tc>
        <w:tc>
          <w:tcPr>
            <w:tcW w:w="649"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pPr>
            <w:r>
              <w:rPr>
                <w:rFonts w:hint="eastAsia" w:ascii="宋体" w:hAnsi="宋体" w:cs="宋体"/>
                <w:kern w:val="0"/>
                <w:sz w:val="20"/>
                <w:szCs w:val="20"/>
              </w:rPr>
              <w:t>结果</w:t>
            </w:r>
            <w:r>
              <w:rPr>
                <w:rFonts w:hint="eastAsia" w:ascii="宋体" w:hAnsi="宋体" w:cs="宋体"/>
                <w:kern w:val="0"/>
                <w:sz w:val="20"/>
                <w:szCs w:val="20"/>
              </w:rPr>
              <w:br w:type="textWrapping"/>
            </w:r>
            <w:r>
              <w:rPr>
                <w:rFonts w:hint="eastAsia" w:ascii="宋体" w:hAnsi="宋体" w:cs="宋体"/>
                <w:kern w:val="0"/>
                <w:sz w:val="20"/>
                <w:szCs w:val="20"/>
              </w:rPr>
              <w:t>维持</w:t>
            </w:r>
          </w:p>
        </w:tc>
        <w:tc>
          <w:tcPr>
            <w:tcW w:w="649"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pPr>
            <w:r>
              <w:rPr>
                <w:rFonts w:hint="eastAsia" w:ascii="宋体" w:hAnsi="宋体" w:cs="宋体"/>
                <w:kern w:val="0"/>
                <w:sz w:val="20"/>
                <w:szCs w:val="20"/>
              </w:rPr>
              <w:t>结果</w:t>
            </w:r>
            <w:r>
              <w:rPr>
                <w:rFonts w:hint="eastAsia" w:ascii="宋体" w:hAnsi="宋体" w:cs="宋体"/>
                <w:kern w:val="0"/>
                <w:sz w:val="20"/>
                <w:szCs w:val="20"/>
              </w:rPr>
              <w:br w:type="textWrapping"/>
            </w:r>
            <w:r>
              <w:rPr>
                <w:rFonts w:hint="eastAsia" w:ascii="宋体" w:hAnsi="宋体" w:cs="宋体"/>
                <w:kern w:val="0"/>
                <w:sz w:val="20"/>
                <w:szCs w:val="20"/>
              </w:rPr>
              <w:t>纠正</w:t>
            </w:r>
          </w:p>
        </w:tc>
        <w:tc>
          <w:tcPr>
            <w:tcW w:w="650"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widowControl/>
              <w:jc w:val="center"/>
            </w:pPr>
            <w:r>
              <w:rPr>
                <w:rFonts w:hint="eastAsia" w:ascii="宋体" w:hAnsi="宋体" w:cs="宋体"/>
                <w:kern w:val="0"/>
                <w:sz w:val="20"/>
                <w:szCs w:val="20"/>
              </w:rPr>
              <w:t>其他</w:t>
            </w:r>
            <w:r>
              <w:rPr>
                <w:rFonts w:hint="eastAsia" w:ascii="宋体" w:hAnsi="宋体" w:cs="宋体"/>
                <w:kern w:val="0"/>
                <w:sz w:val="20"/>
                <w:szCs w:val="20"/>
              </w:rPr>
              <w:br w:type="textWrapping"/>
            </w:r>
            <w:r>
              <w:rPr>
                <w:rFonts w:hint="eastAsia" w:ascii="宋体" w:hAnsi="宋体" w:cs="宋体"/>
                <w:kern w:val="0"/>
                <w:sz w:val="20"/>
                <w:szCs w:val="20"/>
              </w:rPr>
              <w:t>结果</w:t>
            </w:r>
          </w:p>
        </w:tc>
        <w:tc>
          <w:tcPr>
            <w:tcW w:w="650"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widowControl/>
              <w:jc w:val="center"/>
            </w:pPr>
            <w:r>
              <w:rPr>
                <w:rFonts w:hint="eastAsia" w:ascii="宋体" w:hAnsi="宋体" w:cs="宋体"/>
                <w:kern w:val="0"/>
                <w:sz w:val="20"/>
                <w:szCs w:val="20"/>
              </w:rPr>
              <w:t>尚未</w:t>
            </w:r>
            <w:r>
              <w:rPr>
                <w:rFonts w:hint="eastAsia" w:ascii="宋体" w:hAnsi="宋体" w:cs="宋体"/>
                <w:kern w:val="0"/>
                <w:sz w:val="20"/>
                <w:szCs w:val="20"/>
              </w:rPr>
              <w:br w:type="textWrapping"/>
            </w:r>
            <w:r>
              <w:rPr>
                <w:rFonts w:hint="eastAsia" w:ascii="宋体" w:hAnsi="宋体" w:cs="宋体"/>
                <w:kern w:val="0"/>
                <w:sz w:val="20"/>
                <w:szCs w:val="20"/>
              </w:rPr>
              <w:t>审结</w:t>
            </w:r>
          </w:p>
        </w:tc>
        <w:tc>
          <w:tcPr>
            <w:tcW w:w="650"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widowControl/>
              <w:jc w:val="center"/>
            </w:pPr>
            <w:r>
              <w:rPr>
                <w:rFonts w:hint="eastAsia" w:ascii="宋体" w:hAnsi="宋体" w:cs="宋体"/>
                <w:color w:val="000000"/>
                <w:kern w:val="0"/>
                <w:sz w:val="20"/>
                <w:szCs w:val="20"/>
              </w:rPr>
              <w:t>总计</w:t>
            </w:r>
          </w:p>
        </w:tc>
        <w:tc>
          <w:tcPr>
            <w:tcW w:w="651"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widowControl/>
              <w:jc w:val="center"/>
            </w:pPr>
            <w:r>
              <w:rPr>
                <w:rFonts w:hint="eastAsia" w:ascii="宋体" w:hAnsi="宋体" w:cs="宋体"/>
                <w:kern w:val="0"/>
                <w:sz w:val="20"/>
                <w:szCs w:val="20"/>
              </w:rPr>
              <w:t>结果</w:t>
            </w:r>
            <w:r>
              <w:rPr>
                <w:rFonts w:hint="eastAsia" w:ascii="宋体" w:hAnsi="宋体" w:cs="宋体"/>
                <w:kern w:val="0"/>
                <w:sz w:val="20"/>
                <w:szCs w:val="20"/>
              </w:rPr>
              <w:br w:type="textWrapping"/>
            </w:r>
            <w:r>
              <w:rPr>
                <w:rFonts w:hint="eastAsia" w:ascii="宋体" w:hAnsi="宋体" w:cs="宋体"/>
                <w:kern w:val="0"/>
                <w:sz w:val="20"/>
                <w:szCs w:val="20"/>
              </w:rPr>
              <w:t>维持</w:t>
            </w:r>
          </w:p>
        </w:tc>
        <w:tc>
          <w:tcPr>
            <w:tcW w:w="651"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widowControl/>
              <w:jc w:val="center"/>
            </w:pPr>
            <w:r>
              <w:rPr>
                <w:rFonts w:hint="eastAsia" w:ascii="宋体" w:hAnsi="宋体" w:cs="宋体"/>
                <w:kern w:val="0"/>
                <w:sz w:val="20"/>
                <w:szCs w:val="20"/>
              </w:rPr>
              <w:t>结果</w:t>
            </w:r>
            <w:r>
              <w:rPr>
                <w:rFonts w:hint="eastAsia" w:ascii="宋体" w:hAnsi="宋体" w:cs="宋体"/>
                <w:kern w:val="0"/>
                <w:sz w:val="20"/>
                <w:szCs w:val="20"/>
              </w:rPr>
              <w:br w:type="textWrapping"/>
            </w:r>
            <w:r>
              <w:rPr>
                <w:rFonts w:hint="eastAsia" w:ascii="宋体" w:hAnsi="宋体" w:cs="宋体"/>
                <w:kern w:val="0"/>
                <w:sz w:val="20"/>
                <w:szCs w:val="20"/>
              </w:rPr>
              <w:t>纠正</w:t>
            </w:r>
          </w:p>
        </w:tc>
        <w:tc>
          <w:tcPr>
            <w:tcW w:w="651"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widowControl/>
              <w:jc w:val="center"/>
            </w:pPr>
            <w:r>
              <w:rPr>
                <w:rFonts w:hint="eastAsia" w:ascii="宋体" w:hAnsi="宋体" w:cs="宋体"/>
                <w:color w:val="000000"/>
                <w:kern w:val="0"/>
                <w:sz w:val="20"/>
                <w:szCs w:val="20"/>
              </w:rPr>
              <w:t>其他</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结果</w:t>
            </w:r>
          </w:p>
        </w:tc>
        <w:tc>
          <w:tcPr>
            <w:tcW w:w="651"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widowControl/>
              <w:jc w:val="center"/>
            </w:pPr>
            <w:r>
              <w:rPr>
                <w:rFonts w:hint="eastAsia" w:ascii="宋体" w:hAnsi="宋体" w:cs="宋体"/>
                <w:kern w:val="0"/>
                <w:sz w:val="20"/>
                <w:szCs w:val="20"/>
              </w:rPr>
              <w:t>尚未</w:t>
            </w:r>
            <w:r>
              <w:rPr>
                <w:rFonts w:hint="eastAsia" w:ascii="宋体" w:hAnsi="宋体" w:cs="宋体"/>
                <w:kern w:val="0"/>
                <w:sz w:val="20"/>
                <w:szCs w:val="20"/>
              </w:rPr>
              <w:br w:type="textWrapping"/>
            </w:r>
            <w:r>
              <w:rPr>
                <w:rFonts w:hint="eastAsia" w:ascii="宋体" w:hAnsi="宋体" w:cs="宋体"/>
                <w:kern w:val="0"/>
                <w:sz w:val="20"/>
                <w:szCs w:val="20"/>
              </w:rPr>
              <w:t>审结</w:t>
            </w:r>
          </w:p>
        </w:tc>
        <w:tc>
          <w:tcPr>
            <w:tcW w:w="651" w:type="dxa"/>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widowControl/>
              <w:jc w:val="center"/>
            </w:pPr>
            <w:r>
              <w:rPr>
                <w:rFonts w:hint="eastAsia" w:ascii="宋体" w:hAnsi="宋体" w:cs="宋体"/>
                <w:color w:val="000000"/>
                <w:kern w:val="0"/>
                <w:sz w:val="20"/>
                <w:szCs w:val="20"/>
              </w:rPr>
              <w:t>总计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trHeight w:val="672" w:hRule="atLeast"/>
          <w:jc w:val="center"/>
        </w:trPr>
        <w:tc>
          <w:tcPr>
            <w:tcW w:w="649"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rPr>
                <w:rFonts w:hint="eastAsia" w:ascii="宋体" w:hAnsi="宋体" w:cs="宋体"/>
                <w:color w:val="000000"/>
                <w:kern w:val="0"/>
                <w:sz w:val="20"/>
                <w:szCs w:val="20"/>
                <w:lang w:val="en-US" w:eastAsia="zh-CN" w:bidi="ar"/>
              </w:rPr>
            </w:pPr>
            <w:r>
              <w:rPr>
                <w:rFonts w:hint="eastAsia"/>
                <w:color w:val="auto"/>
                <w:highlight w:val="none"/>
                <w:lang w:val="en-US" w:eastAsia="zh-CN"/>
              </w:rPr>
              <w:t>8</w:t>
            </w:r>
          </w:p>
        </w:tc>
        <w:tc>
          <w:tcPr>
            <w:tcW w:w="649"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rPr>
                <w:rFonts w:hint="eastAsia" w:ascii="宋体" w:hAnsi="宋体" w:cs="宋体"/>
                <w:color w:val="000000"/>
                <w:kern w:val="0"/>
                <w:sz w:val="20"/>
                <w:szCs w:val="20"/>
                <w:lang w:val="en-US" w:eastAsia="zh-CN" w:bidi="ar"/>
              </w:rPr>
            </w:pPr>
            <w:r>
              <w:rPr>
                <w:rFonts w:hint="eastAsia" w:ascii="黑体" w:hAnsi="宋体" w:eastAsia="黑体" w:cs="黑体"/>
                <w:color w:val="auto"/>
                <w:kern w:val="0"/>
                <w:sz w:val="20"/>
                <w:szCs w:val="20"/>
                <w:highlight w:val="none"/>
                <w:lang w:val="en-US" w:eastAsia="zh-CN"/>
              </w:rPr>
              <w:t>3</w:t>
            </w:r>
          </w:p>
        </w:tc>
        <w:tc>
          <w:tcPr>
            <w:tcW w:w="649"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rPr>
                <w:rFonts w:hint="eastAsia" w:ascii="宋体" w:hAnsi="宋体" w:cs="宋体"/>
                <w:color w:val="000000"/>
                <w:kern w:val="0"/>
                <w:sz w:val="20"/>
                <w:szCs w:val="20"/>
                <w:lang w:val="en-US" w:eastAsia="zh-CN" w:bidi="ar"/>
              </w:rPr>
            </w:pPr>
            <w:r>
              <w:rPr>
                <w:rFonts w:hint="eastAsia" w:ascii="黑体" w:hAnsi="宋体" w:eastAsia="黑体" w:cs="黑体"/>
                <w:color w:val="auto"/>
                <w:kern w:val="0"/>
                <w:sz w:val="20"/>
                <w:szCs w:val="20"/>
                <w:highlight w:val="none"/>
                <w:lang w:val="en-US" w:eastAsia="zh-CN"/>
              </w:rPr>
              <w:t>11</w:t>
            </w:r>
          </w:p>
        </w:tc>
        <w:tc>
          <w:tcPr>
            <w:tcW w:w="649"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rPr>
                <w:rFonts w:hint="eastAsia" w:ascii="宋体" w:hAnsi="宋体" w:cs="宋体"/>
                <w:color w:val="000000"/>
                <w:kern w:val="0"/>
                <w:sz w:val="20"/>
                <w:szCs w:val="20"/>
                <w:lang w:val="en-US" w:eastAsia="zh-CN" w:bidi="ar"/>
              </w:rPr>
            </w:pPr>
            <w:r>
              <w:rPr>
                <w:rFonts w:hint="eastAsia" w:ascii="黑体" w:hAnsi="宋体" w:eastAsia="黑体" w:cs="黑体"/>
                <w:color w:val="auto"/>
                <w:kern w:val="0"/>
                <w:sz w:val="20"/>
                <w:szCs w:val="20"/>
                <w:highlight w:val="none"/>
                <w:lang w:val="en-US" w:eastAsia="zh-CN"/>
              </w:rPr>
              <w:t>1</w:t>
            </w:r>
          </w:p>
        </w:tc>
        <w:tc>
          <w:tcPr>
            <w:tcW w:w="649"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rPr>
                <w:rFonts w:hint="eastAsia" w:ascii="宋体" w:hAnsi="宋体" w:cs="宋体"/>
                <w:color w:val="000000"/>
                <w:kern w:val="0"/>
                <w:sz w:val="20"/>
                <w:szCs w:val="20"/>
                <w:lang w:val="en-US" w:eastAsia="zh-CN" w:bidi="ar"/>
              </w:rPr>
            </w:pPr>
            <w:r>
              <w:rPr>
                <w:rFonts w:hint="eastAsia" w:ascii="黑体" w:hAnsi="宋体" w:eastAsia="黑体" w:cs="黑体"/>
                <w:color w:val="auto"/>
                <w:kern w:val="0"/>
                <w:sz w:val="20"/>
                <w:szCs w:val="20"/>
                <w:highlight w:val="none"/>
                <w:lang w:val="en-US" w:eastAsia="zh-CN"/>
              </w:rPr>
              <w:t>23</w:t>
            </w:r>
          </w:p>
        </w:tc>
        <w:tc>
          <w:tcPr>
            <w:tcW w:w="649"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rPr>
                <w:rFonts w:hint="eastAsia" w:ascii="宋体" w:hAnsi="宋体" w:cs="宋体"/>
                <w:color w:val="000000"/>
                <w:kern w:val="0"/>
                <w:sz w:val="20"/>
                <w:szCs w:val="20"/>
                <w:lang w:val="en-US" w:eastAsia="zh-CN" w:bidi="ar"/>
              </w:rPr>
            </w:pPr>
            <w:r>
              <w:rPr>
                <w:rFonts w:hint="eastAsia"/>
                <w:color w:val="auto"/>
                <w:highlight w:val="none"/>
              </w:rPr>
              <w:t>0</w:t>
            </w:r>
          </w:p>
        </w:tc>
        <w:tc>
          <w:tcPr>
            <w:tcW w:w="649"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rPr>
                <w:rFonts w:hint="eastAsia" w:ascii="宋体" w:hAnsi="宋体" w:cs="宋体"/>
                <w:color w:val="000000"/>
                <w:kern w:val="0"/>
                <w:sz w:val="20"/>
                <w:szCs w:val="20"/>
                <w:lang w:val="en-US" w:eastAsia="zh-CN" w:bidi="ar"/>
              </w:rPr>
            </w:pPr>
            <w:r>
              <w:rPr>
                <w:rFonts w:hint="eastAsia"/>
                <w:color w:val="auto"/>
                <w:highlight w:val="none"/>
              </w:rPr>
              <w:t>0</w:t>
            </w:r>
          </w:p>
        </w:tc>
        <w:tc>
          <w:tcPr>
            <w:tcW w:w="650"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rPr>
                <w:rFonts w:hint="eastAsia" w:ascii="宋体" w:hAnsi="宋体" w:cs="宋体"/>
                <w:color w:val="000000"/>
                <w:kern w:val="0"/>
                <w:sz w:val="20"/>
                <w:szCs w:val="20"/>
                <w:lang w:val="en-US" w:eastAsia="zh-CN" w:bidi="ar"/>
              </w:rPr>
            </w:pPr>
            <w:r>
              <w:rPr>
                <w:rFonts w:hint="eastAsia" w:ascii="黑体" w:hAnsi="宋体" w:eastAsia="黑体" w:cs="黑体"/>
                <w:color w:val="auto"/>
                <w:kern w:val="0"/>
                <w:sz w:val="20"/>
                <w:szCs w:val="20"/>
                <w:highlight w:val="none"/>
              </w:rPr>
              <w:t>0</w:t>
            </w:r>
          </w:p>
        </w:tc>
        <w:tc>
          <w:tcPr>
            <w:tcW w:w="650"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rPr>
                <w:rFonts w:hint="eastAsia" w:ascii="宋体" w:hAnsi="宋体" w:cs="宋体"/>
                <w:color w:val="000000"/>
                <w:kern w:val="0"/>
                <w:sz w:val="20"/>
                <w:szCs w:val="20"/>
                <w:lang w:val="en-US" w:eastAsia="zh-CN" w:bidi="ar"/>
              </w:rPr>
            </w:pPr>
            <w:r>
              <w:rPr>
                <w:rFonts w:hint="eastAsia"/>
                <w:color w:val="auto"/>
                <w:highlight w:val="none"/>
                <w:lang w:val="en-US" w:eastAsia="zh-CN"/>
              </w:rPr>
              <w:t>0</w:t>
            </w:r>
          </w:p>
        </w:tc>
        <w:tc>
          <w:tcPr>
            <w:tcW w:w="650"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rPr>
                <w:rFonts w:hint="eastAsia" w:ascii="宋体" w:hAnsi="宋体" w:cs="宋体"/>
                <w:color w:val="000000"/>
                <w:kern w:val="0"/>
                <w:sz w:val="20"/>
                <w:szCs w:val="20"/>
                <w:lang w:val="en-US" w:eastAsia="zh-CN" w:bidi="ar"/>
              </w:rPr>
            </w:pPr>
            <w:r>
              <w:rPr>
                <w:rFonts w:hint="eastAsia" w:ascii="黑体" w:hAnsi="宋体" w:eastAsia="黑体" w:cs="黑体"/>
                <w:color w:val="auto"/>
                <w:kern w:val="0"/>
                <w:sz w:val="20"/>
                <w:szCs w:val="20"/>
                <w:highlight w:val="none"/>
                <w:lang w:val="en-US" w:eastAsia="zh-CN"/>
              </w:rPr>
              <w:t>0</w:t>
            </w:r>
          </w:p>
        </w:tc>
        <w:tc>
          <w:tcPr>
            <w:tcW w:w="651"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rPr>
                <w:rFonts w:hint="eastAsia" w:ascii="宋体" w:hAnsi="宋体" w:cs="宋体"/>
                <w:color w:val="000000"/>
                <w:kern w:val="0"/>
                <w:sz w:val="20"/>
                <w:szCs w:val="20"/>
                <w:lang w:val="en-US" w:eastAsia="zh-CN" w:bidi="ar"/>
              </w:rPr>
            </w:pPr>
            <w:r>
              <w:rPr>
                <w:rFonts w:hint="eastAsia"/>
                <w:color w:val="auto"/>
                <w:highlight w:val="none"/>
                <w:lang w:val="en-US" w:eastAsia="zh-CN"/>
              </w:rPr>
              <w:t>2</w:t>
            </w:r>
          </w:p>
        </w:tc>
        <w:tc>
          <w:tcPr>
            <w:tcW w:w="651"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rPr>
                <w:rFonts w:hint="eastAsia" w:ascii="宋体" w:hAnsi="宋体" w:cs="宋体"/>
                <w:color w:val="000000"/>
                <w:kern w:val="0"/>
                <w:sz w:val="20"/>
                <w:szCs w:val="20"/>
                <w:lang w:val="en-US" w:eastAsia="zh-CN" w:bidi="ar"/>
              </w:rPr>
            </w:pPr>
            <w:r>
              <w:rPr>
                <w:rFonts w:hint="eastAsia"/>
                <w:color w:val="auto"/>
                <w:highlight w:val="none"/>
              </w:rPr>
              <w:t>0</w:t>
            </w:r>
          </w:p>
        </w:tc>
        <w:tc>
          <w:tcPr>
            <w:tcW w:w="651"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rPr>
                <w:rFonts w:hint="eastAsia" w:ascii="宋体" w:hAnsi="宋体" w:cs="宋体"/>
                <w:color w:val="000000"/>
                <w:kern w:val="0"/>
                <w:sz w:val="20"/>
                <w:szCs w:val="20"/>
                <w:lang w:val="en-US" w:eastAsia="zh-CN" w:bidi="ar"/>
              </w:rPr>
            </w:pPr>
            <w:r>
              <w:rPr>
                <w:rFonts w:hint="eastAsia"/>
                <w:color w:val="auto"/>
                <w:highlight w:val="none"/>
              </w:rPr>
              <w:t>0</w:t>
            </w:r>
          </w:p>
        </w:tc>
        <w:tc>
          <w:tcPr>
            <w:tcW w:w="651" w:type="dxa"/>
            <w:tcBorders>
              <w:top w:val="nil"/>
              <w:left w:val="single" w:color="auto" w:sz="8" w:space="0"/>
              <w:bottom w:val="single" w:color="auto" w:sz="8" w:space="0"/>
              <w:right w:val="single" w:color="auto" w:sz="8" w:space="0"/>
            </w:tcBorders>
            <w:tcMar>
              <w:left w:w="108" w:type="dxa"/>
              <w:right w:w="108" w:type="dxa"/>
            </w:tcMar>
            <w:vAlign w:val="center"/>
          </w:tcPr>
          <w:p>
            <w:pPr>
              <w:widowControl/>
              <w:jc w:val="center"/>
              <w:rPr>
                <w:rFonts w:hint="eastAsia" w:ascii="宋体" w:hAnsi="宋体" w:cs="宋体"/>
                <w:color w:val="000000"/>
                <w:kern w:val="0"/>
                <w:sz w:val="20"/>
                <w:szCs w:val="20"/>
                <w:lang w:val="en-US" w:eastAsia="zh-CN" w:bidi="ar"/>
              </w:rPr>
            </w:pPr>
            <w:r>
              <w:rPr>
                <w:rFonts w:hint="eastAsia"/>
                <w:color w:val="auto"/>
                <w:highlight w:val="none"/>
                <w:lang w:val="en-US" w:eastAsia="zh-CN"/>
              </w:rPr>
              <w:t>2</w:t>
            </w:r>
          </w:p>
        </w:tc>
        <w:tc>
          <w:tcPr>
            <w:tcW w:w="651" w:type="dxa"/>
            <w:tcBorders>
              <w:top w:val="nil"/>
              <w:left w:val="single" w:color="auto" w:sz="8" w:space="0"/>
              <w:bottom w:val="single" w:color="auto" w:sz="8" w:space="0"/>
              <w:right w:val="single" w:color="auto" w:sz="8" w:space="0"/>
            </w:tcBorders>
            <w:tcMar>
              <w:left w:w="108" w:type="dxa"/>
              <w:right w:w="108" w:type="dxa"/>
            </w:tcMar>
            <w:vAlign w:val="center"/>
          </w:tcPr>
          <w:p>
            <w:pPr>
              <w:jc w:val="center"/>
              <w:rPr>
                <w:rFonts w:hint="eastAsia" w:ascii="宋体" w:hAnsi="宋体" w:cs="宋体"/>
                <w:color w:val="000000"/>
                <w:kern w:val="0"/>
                <w:sz w:val="20"/>
                <w:szCs w:val="20"/>
                <w:lang w:val="en-US" w:eastAsia="zh-CN" w:bidi="ar"/>
              </w:rPr>
            </w:pPr>
            <w:r>
              <w:rPr>
                <w:rFonts w:hint="eastAsia"/>
                <w:color w:val="auto"/>
                <w:highlight w:val="none"/>
                <w:lang w:val="en-US" w:eastAsia="zh-CN"/>
              </w:rPr>
              <w:t>4</w:t>
            </w:r>
          </w:p>
        </w:tc>
      </w:tr>
    </w:tbl>
    <w:p>
      <w:pPr>
        <w:spacing w:line="600" w:lineRule="exact"/>
        <w:ind w:firstLine="640" w:firstLineChars="200"/>
        <w:rPr>
          <w:bCs/>
        </w:rPr>
      </w:pPr>
      <w:r>
        <w:rPr>
          <w:rFonts w:hint="eastAsia" w:ascii="黑体" w:hAnsi="黑体" w:eastAsia="黑体"/>
          <w:bCs/>
          <w:sz w:val="32"/>
          <w:szCs w:val="32"/>
        </w:rPr>
        <w:t>五、政府信息公开工作存在的主要问题和改进情况</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2025年，我局进一步推进平台规范化，保障公众的知情权、参与权、表达权、监督权方面取得了明显成效，但仍存在工作衔接环节薄弱、政策解读不够深入、主动公开力度有待增强等问题。</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改进情况：    </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一是完善制度，压实责任。进一步完善政府信息公开工作制度与责任制，压实各警种、各部门在公开工作中的职责，加强工作环节衔接，确保高质量完成好各项工作任务。</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二是加强指导，助力升级。继续推进对基层工作指导力度，同时本单位指定专职法制员对本部门所受理的信息公开事项依规进行专门指导，指定专职法制员进行应诉，通过新举措推动全局信息公开工作稳步进行。</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是积极公开，增强力度。推动基层公安机关建成一套公开事项科学全面、工作流程规范高效、平台渠道丰富多元的基层公开统一标准规范，助力主动公开工作提档升级。按照“应公开尽公开”的原则，加大主动公开力度，紧紧围绕公安工作与人民群众最关切的问题，利用新媒体等权威渠道和平台及时高效公开，使群众及时了解相关情况，获取有效信息，并接受群众监督。</w:t>
      </w:r>
    </w:p>
    <w:p>
      <w:pPr>
        <w:spacing w:line="600" w:lineRule="exact"/>
        <w:ind w:firstLine="627" w:firstLineChars="196"/>
        <w:rPr>
          <w:rFonts w:ascii="黑体" w:hAnsi="黑体" w:eastAsia="黑体" w:cs="黑体"/>
          <w:bCs/>
          <w:sz w:val="32"/>
          <w:szCs w:val="32"/>
        </w:rPr>
      </w:pPr>
      <w:r>
        <w:rPr>
          <w:rFonts w:hint="eastAsia" w:ascii="黑体" w:hAnsi="黑体" w:eastAsia="黑体" w:cs="黑体"/>
          <w:bCs/>
          <w:sz w:val="32"/>
          <w:szCs w:val="32"/>
        </w:rPr>
        <w:t>六、其他需要报告的事项</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年，我局办理的政府信息公开申请中，没有收取信息处理费的情况，发出收费通知的件数和总金额以及实际收取的总金额均为0。</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outlineLvl w:val="9"/>
        <w:rPr>
          <w:rFonts w:hint="default" w:ascii="Times New Roman" w:hAnsi="Times New Roman" w:cs="Times New Roman"/>
        </w:rPr>
      </w:pPr>
      <w:r>
        <w:rPr>
          <w:rFonts w:hint="default" w:ascii="Times New Roman" w:hAnsi="Times New Roman" w:eastAsia="仿宋_GB2312" w:cs="Times New Roman"/>
          <w:sz w:val="32"/>
          <w:szCs w:val="32"/>
          <w:lang w:val="en-US" w:eastAsia="zh-CN"/>
        </w:rPr>
        <w:t>如需了解更多政府信息，请登录北京市公安局</w:t>
      </w:r>
      <w:r>
        <w:rPr>
          <w:rFonts w:hint="eastAsia" w:ascii="Times New Roman" w:hAnsi="Times New Roman" w:eastAsia="仿宋_GB2312" w:cs="Times New Roman"/>
          <w:sz w:val="32"/>
          <w:szCs w:val="32"/>
          <w:lang w:val="en-US" w:eastAsia="zh-CN"/>
        </w:rPr>
        <w:t>门户</w:t>
      </w:r>
      <w:r>
        <w:rPr>
          <w:rFonts w:hint="default" w:ascii="Times New Roman" w:hAnsi="Times New Roman" w:eastAsia="仿宋_GB2312" w:cs="Times New Roman"/>
          <w:sz w:val="32"/>
          <w:szCs w:val="32"/>
          <w:lang w:val="en-US" w:eastAsia="zh-CN"/>
        </w:rPr>
        <w:t>网站查询（网址:http://gaj.beijing.gov.cn/）。</w:t>
      </w:r>
    </w:p>
    <w:p>
      <w:pPr>
        <w:spacing w:line="600" w:lineRule="exact"/>
        <w:ind w:firstLine="640" w:firstLineChars="200"/>
        <w:rPr>
          <w:rFonts w:hint="eastAsia" w:ascii="仿宋_GB2312" w:hAnsi="仿宋_GB2312" w:eastAsia="仿宋_GB2312" w:cs="仿宋_GB2312"/>
          <w:sz w:val="32"/>
          <w:szCs w:val="32"/>
          <w:lang w:eastAsia="zh-CN"/>
        </w:rPr>
      </w:pPr>
      <w:bookmarkStart w:id="0" w:name="_GoBack"/>
      <w:bookmarkEnd w:id="0"/>
    </w:p>
    <w:sectPr>
      <w:footerReference r:id="rId3" w:type="default"/>
      <w:pgSz w:w="11906" w:h="16838"/>
      <w:pgMar w:top="2098" w:right="1474" w:bottom="1984" w:left="1587" w:header="851" w:footer="1559"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snapToGrid w:val="0"/>
                  <w:rPr>
                    <w:szCs w:val="21"/>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- 5 -</w:t>
                </w:r>
                <w:r>
                  <w:rPr>
                    <w:rFonts w:hint="eastAsia" w:asciiTheme="minorEastAsia" w:hAnsiTheme="minorEastAsia" w:eastAsiaTheme="minorEastAsia" w:cstheme="minorEastAsia"/>
                    <w:sz w:val="28"/>
                    <w:szCs w:val="28"/>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99DA959"/>
    <w:multiLevelType w:val="singleLevel"/>
    <w:tmpl w:val="B99DA9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696A"/>
    <w:rsid w:val="00001433"/>
    <w:rsid w:val="0009218F"/>
    <w:rsid w:val="000C6C50"/>
    <w:rsid w:val="000D7E9F"/>
    <w:rsid w:val="000E2D69"/>
    <w:rsid w:val="001274B5"/>
    <w:rsid w:val="0013696A"/>
    <w:rsid w:val="00141889"/>
    <w:rsid w:val="00142275"/>
    <w:rsid w:val="0014628E"/>
    <w:rsid w:val="00165850"/>
    <w:rsid w:val="001805B9"/>
    <w:rsid w:val="00181974"/>
    <w:rsid w:val="00186F59"/>
    <w:rsid w:val="001A1877"/>
    <w:rsid w:val="001A53F3"/>
    <w:rsid w:val="001E5161"/>
    <w:rsid w:val="001E5B01"/>
    <w:rsid w:val="001F51C9"/>
    <w:rsid w:val="001F706C"/>
    <w:rsid w:val="00257238"/>
    <w:rsid w:val="002A0946"/>
    <w:rsid w:val="002F16EA"/>
    <w:rsid w:val="00332787"/>
    <w:rsid w:val="003A7AB5"/>
    <w:rsid w:val="003B7CF5"/>
    <w:rsid w:val="003F6892"/>
    <w:rsid w:val="00440ABD"/>
    <w:rsid w:val="0049541E"/>
    <w:rsid w:val="0049714B"/>
    <w:rsid w:val="004A4F46"/>
    <w:rsid w:val="004B3481"/>
    <w:rsid w:val="004C07BE"/>
    <w:rsid w:val="004C3D86"/>
    <w:rsid w:val="004C7017"/>
    <w:rsid w:val="004E0B16"/>
    <w:rsid w:val="004F7EE2"/>
    <w:rsid w:val="005036EA"/>
    <w:rsid w:val="0054478E"/>
    <w:rsid w:val="00590616"/>
    <w:rsid w:val="00596F43"/>
    <w:rsid w:val="005A6E83"/>
    <w:rsid w:val="005C3376"/>
    <w:rsid w:val="005E6BF5"/>
    <w:rsid w:val="00602B56"/>
    <w:rsid w:val="006075EA"/>
    <w:rsid w:val="006528A1"/>
    <w:rsid w:val="006B140A"/>
    <w:rsid w:val="00703234"/>
    <w:rsid w:val="007206C5"/>
    <w:rsid w:val="007207C2"/>
    <w:rsid w:val="00733303"/>
    <w:rsid w:val="00733A6E"/>
    <w:rsid w:val="00746183"/>
    <w:rsid w:val="00753B3C"/>
    <w:rsid w:val="00756441"/>
    <w:rsid w:val="007702B4"/>
    <w:rsid w:val="007B1F19"/>
    <w:rsid w:val="007B2EC5"/>
    <w:rsid w:val="007E5C18"/>
    <w:rsid w:val="00813CD3"/>
    <w:rsid w:val="00830D9C"/>
    <w:rsid w:val="00862E21"/>
    <w:rsid w:val="00865A20"/>
    <w:rsid w:val="00872F2D"/>
    <w:rsid w:val="00893364"/>
    <w:rsid w:val="00897BEB"/>
    <w:rsid w:val="008D0589"/>
    <w:rsid w:val="008F63B3"/>
    <w:rsid w:val="00905112"/>
    <w:rsid w:val="00905952"/>
    <w:rsid w:val="0093068A"/>
    <w:rsid w:val="009324F1"/>
    <w:rsid w:val="009712B0"/>
    <w:rsid w:val="009F0369"/>
    <w:rsid w:val="00A22D8D"/>
    <w:rsid w:val="00A372ED"/>
    <w:rsid w:val="00AB1DDA"/>
    <w:rsid w:val="00AD433F"/>
    <w:rsid w:val="00B04E46"/>
    <w:rsid w:val="00B149B7"/>
    <w:rsid w:val="00B15AE6"/>
    <w:rsid w:val="00B15CC0"/>
    <w:rsid w:val="00B32E58"/>
    <w:rsid w:val="00B71C53"/>
    <w:rsid w:val="00BA49BB"/>
    <w:rsid w:val="00BB30B3"/>
    <w:rsid w:val="00BD6C7C"/>
    <w:rsid w:val="00C159FC"/>
    <w:rsid w:val="00C37F31"/>
    <w:rsid w:val="00C50376"/>
    <w:rsid w:val="00C63094"/>
    <w:rsid w:val="00C8297C"/>
    <w:rsid w:val="00CA3021"/>
    <w:rsid w:val="00CC5BBA"/>
    <w:rsid w:val="00CD5F12"/>
    <w:rsid w:val="00CD6E2D"/>
    <w:rsid w:val="00CE19D5"/>
    <w:rsid w:val="00CF64EC"/>
    <w:rsid w:val="00D16B98"/>
    <w:rsid w:val="00D50244"/>
    <w:rsid w:val="00D61EF2"/>
    <w:rsid w:val="00D64D0D"/>
    <w:rsid w:val="00D9615A"/>
    <w:rsid w:val="00DD1CCD"/>
    <w:rsid w:val="00DD7726"/>
    <w:rsid w:val="00E00DB4"/>
    <w:rsid w:val="00E14E6D"/>
    <w:rsid w:val="00E52199"/>
    <w:rsid w:val="00EA19F0"/>
    <w:rsid w:val="00EA20B3"/>
    <w:rsid w:val="00EB158E"/>
    <w:rsid w:val="00ED11ED"/>
    <w:rsid w:val="00ED1E44"/>
    <w:rsid w:val="00EE501B"/>
    <w:rsid w:val="00F05694"/>
    <w:rsid w:val="00F34FAC"/>
    <w:rsid w:val="00F61278"/>
    <w:rsid w:val="00F642C9"/>
    <w:rsid w:val="00F80417"/>
    <w:rsid w:val="00F81A77"/>
    <w:rsid w:val="00F91C6D"/>
    <w:rsid w:val="00F94912"/>
    <w:rsid w:val="01B22AFC"/>
    <w:rsid w:val="04CC4065"/>
    <w:rsid w:val="05DD52A2"/>
    <w:rsid w:val="07A12D91"/>
    <w:rsid w:val="09A736DF"/>
    <w:rsid w:val="09B00504"/>
    <w:rsid w:val="09FA2638"/>
    <w:rsid w:val="0BC351F1"/>
    <w:rsid w:val="0BC85810"/>
    <w:rsid w:val="0C530B82"/>
    <w:rsid w:val="0DDA48B3"/>
    <w:rsid w:val="0FFE0616"/>
    <w:rsid w:val="1095600C"/>
    <w:rsid w:val="109B479C"/>
    <w:rsid w:val="11330A48"/>
    <w:rsid w:val="12FB43C9"/>
    <w:rsid w:val="141D6A2A"/>
    <w:rsid w:val="156449B7"/>
    <w:rsid w:val="15986A5C"/>
    <w:rsid w:val="164B78A9"/>
    <w:rsid w:val="182A1081"/>
    <w:rsid w:val="1B0D6F1F"/>
    <w:rsid w:val="1B5F4E47"/>
    <w:rsid w:val="1BCB6246"/>
    <w:rsid w:val="1E6E0AB3"/>
    <w:rsid w:val="1FE46767"/>
    <w:rsid w:val="20846F9F"/>
    <w:rsid w:val="208C653C"/>
    <w:rsid w:val="209A4539"/>
    <w:rsid w:val="226B5522"/>
    <w:rsid w:val="230E423F"/>
    <w:rsid w:val="2386367F"/>
    <w:rsid w:val="23C04E78"/>
    <w:rsid w:val="25FB7F21"/>
    <w:rsid w:val="26AA290E"/>
    <w:rsid w:val="26BC168A"/>
    <w:rsid w:val="277E7F4E"/>
    <w:rsid w:val="27EC75BD"/>
    <w:rsid w:val="28237FFA"/>
    <w:rsid w:val="287B4C85"/>
    <w:rsid w:val="296114F0"/>
    <w:rsid w:val="2971104E"/>
    <w:rsid w:val="29EA334D"/>
    <w:rsid w:val="29FA46B0"/>
    <w:rsid w:val="2A531ACB"/>
    <w:rsid w:val="2A585795"/>
    <w:rsid w:val="2A8E3F36"/>
    <w:rsid w:val="2E587935"/>
    <w:rsid w:val="2EF628AA"/>
    <w:rsid w:val="2F456059"/>
    <w:rsid w:val="305C4A45"/>
    <w:rsid w:val="316568E0"/>
    <w:rsid w:val="320C5097"/>
    <w:rsid w:val="32A76CE8"/>
    <w:rsid w:val="333C6F77"/>
    <w:rsid w:val="33AA3DF8"/>
    <w:rsid w:val="33C5762A"/>
    <w:rsid w:val="33CF7F3A"/>
    <w:rsid w:val="33D934BB"/>
    <w:rsid w:val="342506F9"/>
    <w:rsid w:val="34BF4CEB"/>
    <w:rsid w:val="350D53C3"/>
    <w:rsid w:val="35974472"/>
    <w:rsid w:val="36B124CD"/>
    <w:rsid w:val="36FE2B44"/>
    <w:rsid w:val="3742428A"/>
    <w:rsid w:val="37436585"/>
    <w:rsid w:val="39107EB4"/>
    <w:rsid w:val="39B11AFD"/>
    <w:rsid w:val="3B894617"/>
    <w:rsid w:val="3BE976F1"/>
    <w:rsid w:val="3DE31AAF"/>
    <w:rsid w:val="3E991D9B"/>
    <w:rsid w:val="3E9E071D"/>
    <w:rsid w:val="3EDA4131"/>
    <w:rsid w:val="3FBF701F"/>
    <w:rsid w:val="40BE796A"/>
    <w:rsid w:val="417B320E"/>
    <w:rsid w:val="41D1528A"/>
    <w:rsid w:val="41EF7BB9"/>
    <w:rsid w:val="44026DEA"/>
    <w:rsid w:val="445007B4"/>
    <w:rsid w:val="44676A81"/>
    <w:rsid w:val="45082BA3"/>
    <w:rsid w:val="45613345"/>
    <w:rsid w:val="459E5BD3"/>
    <w:rsid w:val="46751915"/>
    <w:rsid w:val="46965B8C"/>
    <w:rsid w:val="475A6196"/>
    <w:rsid w:val="47FE6D3C"/>
    <w:rsid w:val="493A75EB"/>
    <w:rsid w:val="493F0449"/>
    <w:rsid w:val="494356E4"/>
    <w:rsid w:val="497526BF"/>
    <w:rsid w:val="49ED6AC9"/>
    <w:rsid w:val="4B583A35"/>
    <w:rsid w:val="4BE0654F"/>
    <w:rsid w:val="4BEA3B6A"/>
    <w:rsid w:val="4E6D531B"/>
    <w:rsid w:val="4E960960"/>
    <w:rsid w:val="4EA10110"/>
    <w:rsid w:val="4F4B1579"/>
    <w:rsid w:val="511D6FB4"/>
    <w:rsid w:val="52CF30BD"/>
    <w:rsid w:val="539B1204"/>
    <w:rsid w:val="54EE47F5"/>
    <w:rsid w:val="5656517F"/>
    <w:rsid w:val="56C01490"/>
    <w:rsid w:val="57217AB8"/>
    <w:rsid w:val="579D0870"/>
    <w:rsid w:val="58DC1D75"/>
    <w:rsid w:val="595B7208"/>
    <w:rsid w:val="59F9527D"/>
    <w:rsid w:val="5A352D1A"/>
    <w:rsid w:val="5A5160D8"/>
    <w:rsid w:val="5C2A13D6"/>
    <w:rsid w:val="5CEC390A"/>
    <w:rsid w:val="5D980557"/>
    <w:rsid w:val="5E874A85"/>
    <w:rsid w:val="5F490709"/>
    <w:rsid w:val="5FCA453C"/>
    <w:rsid w:val="602A59A8"/>
    <w:rsid w:val="602C274E"/>
    <w:rsid w:val="603014E3"/>
    <w:rsid w:val="615B3B6F"/>
    <w:rsid w:val="61694301"/>
    <w:rsid w:val="623D667B"/>
    <w:rsid w:val="62FD69F1"/>
    <w:rsid w:val="65223434"/>
    <w:rsid w:val="666617B7"/>
    <w:rsid w:val="673E0D49"/>
    <w:rsid w:val="67547A43"/>
    <w:rsid w:val="68955427"/>
    <w:rsid w:val="6975662A"/>
    <w:rsid w:val="6A3808D0"/>
    <w:rsid w:val="6A974D71"/>
    <w:rsid w:val="6AA76051"/>
    <w:rsid w:val="6AAA4F28"/>
    <w:rsid w:val="6AD42A8F"/>
    <w:rsid w:val="6B345EE6"/>
    <w:rsid w:val="6BC96BDC"/>
    <w:rsid w:val="6C3B594B"/>
    <w:rsid w:val="6D4F2CAE"/>
    <w:rsid w:val="6E512429"/>
    <w:rsid w:val="6E5C009C"/>
    <w:rsid w:val="6EC305E2"/>
    <w:rsid w:val="6F004883"/>
    <w:rsid w:val="6F5E274F"/>
    <w:rsid w:val="702D7C09"/>
    <w:rsid w:val="72730CB3"/>
    <w:rsid w:val="727F5290"/>
    <w:rsid w:val="728D348D"/>
    <w:rsid w:val="72E45D91"/>
    <w:rsid w:val="73374C53"/>
    <w:rsid w:val="747E21E7"/>
    <w:rsid w:val="74A36F24"/>
    <w:rsid w:val="7516626F"/>
    <w:rsid w:val="75A153C0"/>
    <w:rsid w:val="75EE07F3"/>
    <w:rsid w:val="75EF3A57"/>
    <w:rsid w:val="760279D0"/>
    <w:rsid w:val="76206504"/>
    <w:rsid w:val="7634730B"/>
    <w:rsid w:val="76935061"/>
    <w:rsid w:val="769A7762"/>
    <w:rsid w:val="7747667A"/>
    <w:rsid w:val="78A82E6B"/>
    <w:rsid w:val="7978742B"/>
    <w:rsid w:val="79C866EB"/>
    <w:rsid w:val="7A260714"/>
    <w:rsid w:val="7AC56B2E"/>
    <w:rsid w:val="7B0707C9"/>
    <w:rsid w:val="7BC0366E"/>
    <w:rsid w:val="7E49110E"/>
    <w:rsid w:val="7FAD2960"/>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index 1"/>
    <w:basedOn w:val="1"/>
    <w:next w:val="1"/>
    <w:semiHidden/>
    <w:qFormat/>
    <w:uiPriority w:val="0"/>
    <w:pPr>
      <w:ind w:firstLine="640" w:firstLineChars="200"/>
    </w:pPr>
    <w:rPr>
      <w:rFonts w:ascii="楷体_GB2312" w:eastAsia="楷体_GB2312" w:cs="仿宋_GB2312"/>
      <w:szCs w:val="32"/>
    </w:rPr>
  </w:style>
  <w:style w:type="paragraph" w:styleId="3">
    <w:name w:val="Plain Text"/>
    <w:basedOn w:val="1"/>
    <w:qFormat/>
    <w:uiPriority w:val="0"/>
    <w:rPr>
      <w:rFonts w:ascii="宋体" w:hAnsi="Courier New"/>
    </w:rPr>
  </w:style>
  <w:style w:type="paragraph" w:styleId="4">
    <w:name w:val="footer"/>
    <w:basedOn w:val="1"/>
    <w:link w:val="13"/>
    <w:semiHidden/>
    <w:qFormat/>
    <w:uiPriority w:val="99"/>
    <w:pPr>
      <w:tabs>
        <w:tab w:val="center" w:pos="4153"/>
        <w:tab w:val="right" w:pos="8306"/>
      </w:tabs>
      <w:snapToGrid w:val="0"/>
      <w:jc w:val="left"/>
    </w:pPr>
    <w:rPr>
      <w:sz w:val="18"/>
      <w:szCs w:val="18"/>
    </w:rPr>
  </w:style>
  <w:style w:type="paragraph" w:styleId="5">
    <w:name w:val="header"/>
    <w:basedOn w:val="1"/>
    <w:link w:val="12"/>
    <w:semiHidden/>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kern w:val="0"/>
      <w:sz w:val="24"/>
    </w:rPr>
  </w:style>
  <w:style w:type="table" w:styleId="8">
    <w:name w:val="Table Grid"/>
    <w:basedOn w:val="7"/>
    <w:qFormat/>
    <w:uiPriority w:val="9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styleId="10">
    <w:name w:val="Strong"/>
    <w:basedOn w:val="9"/>
    <w:qFormat/>
    <w:locked/>
    <w:uiPriority w:val="0"/>
    <w:rPr>
      <w:b/>
    </w:rPr>
  </w:style>
  <w:style w:type="character" w:styleId="11">
    <w:name w:val="Emphasis"/>
    <w:basedOn w:val="9"/>
    <w:qFormat/>
    <w:locked/>
    <w:uiPriority w:val="0"/>
    <w:rPr>
      <w:i/>
    </w:rPr>
  </w:style>
  <w:style w:type="character" w:customStyle="1" w:styleId="12">
    <w:name w:val="页眉 Char"/>
    <w:basedOn w:val="9"/>
    <w:link w:val="5"/>
    <w:semiHidden/>
    <w:qFormat/>
    <w:locked/>
    <w:uiPriority w:val="99"/>
    <w:rPr>
      <w:rFonts w:cs="Times New Roman"/>
      <w:sz w:val="18"/>
      <w:szCs w:val="18"/>
    </w:rPr>
  </w:style>
  <w:style w:type="character" w:customStyle="1" w:styleId="13">
    <w:name w:val="页脚 Char"/>
    <w:basedOn w:val="9"/>
    <w:link w:val="4"/>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479</Words>
  <Characters>2731</Characters>
  <Lines>22</Lines>
  <Paragraphs>6</Paragraphs>
  <TotalTime>0</TotalTime>
  <ScaleCrop>false</ScaleCrop>
  <LinksUpToDate>false</LinksUpToDate>
  <CharactersWithSpaces>3204</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2020-01-02T01:32:00Z</dcterms:created>
  <dc:creator>1</dc:creator>
  <cp:lastModifiedBy>Administrator</cp:lastModifiedBy>
  <cp:lastPrinted>2022-01-04T08:40:00Z</cp:lastPrinted>
  <dcterms:modified xsi:type="dcterms:W3CDTF">2026-01-20T06:56:24Z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