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>北京市公安局研究中心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eastAsia="zh-CN"/>
        </w:rPr>
        <w:t>年度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eastAsia="zh-CN"/>
        </w:rPr>
        <w:t>“优培计划”专业能力测试和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</w:rPr>
        <w:t>面试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highlight w:val="none"/>
          <w:lang w:eastAsia="zh-CN"/>
        </w:rPr>
        <w:t>有关事宜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有关工作安排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，现就202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“优培计划”专业能力测试和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面试有关事宜通知如下：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eastAsia="zh-CN"/>
        </w:rPr>
        <w:t>专业能力测试和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面试人员名单</w:t>
      </w:r>
    </w:p>
    <w:tbl>
      <w:tblPr>
        <w:tblStyle w:val="13"/>
        <w:tblW w:w="7447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402"/>
        <w:gridCol w:w="1365"/>
        <w:gridCol w:w="1845"/>
        <w:gridCol w:w="13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  <w:t>职位名称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  <w:t>职位代码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准考证号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笔试成绩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技术检测岗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  <w:t>819901910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李欣宇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112020101812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霍超越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111064200529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宋祺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111052302227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王嘉怡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112000103529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李慧心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111052204228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王琪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111060100111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王璇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112000102419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田文洁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112020104517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技术检测岗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  <w:t>81990191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喻鹏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112030100409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张明瑞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112010100221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马伟韬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111070400224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张皓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111069201306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锁嘉龙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112020102328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叶先枫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111052800612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孙堃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111015201304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刘浩通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111052202307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69.25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汉仪春然手书简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eastAsia="zh-CN"/>
        </w:rPr>
        <w:t>专业能力测试和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面试安排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（一）组织实施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专业能力测试形式为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闭卷考试；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面试形式为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半结构化（面试共有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题目，其中，第1、第2道题目为结构化问题，第3道题目为开放性试题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1.专业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测试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11月27日上午9:30入场完毕，10:00专业测试开始；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请考生于当日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9:20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前报到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，未按时报到的，视为自动放弃，取消此次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专业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2.面试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11月27日下午13:40入场完毕，14:30面试开始；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请考生于当日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下午13:20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前报到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，未按时报到的，视为自动放弃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取消此次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资格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地点：北京市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朝阳区808大楼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携带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材料和物品：考生须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携带本人身份证、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笔试成绩单，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承诺于面试前提供的资格复审材料以及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考试文具（黑色签字笔、2B铅笔、橡皮）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成绩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合格分数线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本次专业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测试不划定分数线，面试合格分数线划定为60分。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综合成绩计算方式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“优培计划”综合成绩计算方法为：笔试成绩占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30%，专业能力测试成绩占20%，面试成绩占50%。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三、考察和体检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专业能力测试和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面试考生成绩将在北京市人事考试通用平台公布，考生可凭报名时的用户名和密码自行登录查询。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面试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和专业能力测试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根据综合成绩由高到低的顺序，按照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1:2的比例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确定参加心理测试、体能测评、体检和考察人选，具体安排另行通知。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四、注意事项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1.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mailto:公告发布后，如考生放弃面试资格，请于2月23日前通过电子邮件将放弃声明（PDF格式扫描件）发送到XXX@XXX.gov.cn。未在规定时间内提交放弃声明，又因个人原因不参加面试的，将视情节报北京市公务员主管部门记入诚信档案。"</w:instrTex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公告发布后，如考生放弃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专业测试、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面试资格，请于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11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月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25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日前通过电子邮件将放弃声明（PDF格式扫描件）发送到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gbzx2024zhaolu@163.com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2.考生应遵守考场规则和候考室纪律，服从工作人员管理。专业能力测试和面试期间，通讯工具由工作人员统一保管。面试结束后须立即离开考区，以免影响其他考生。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3.请考生仔细阅读本公告事项，认真做好有关准备，务必保持报名时提供的联系电话畅通。如有疑问，请电话咨询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王老师，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010-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53121162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02" w:leftChars="344" w:hanging="1280" w:hanging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BA2BEB"/>
    <w:rsid w:val="044D4E78"/>
    <w:rsid w:val="04890A3B"/>
    <w:rsid w:val="050E1C21"/>
    <w:rsid w:val="059F02E7"/>
    <w:rsid w:val="06A945A8"/>
    <w:rsid w:val="098B44BE"/>
    <w:rsid w:val="09C23F97"/>
    <w:rsid w:val="0BD33B25"/>
    <w:rsid w:val="0C0C520A"/>
    <w:rsid w:val="0C205D47"/>
    <w:rsid w:val="0C951723"/>
    <w:rsid w:val="0D1C3820"/>
    <w:rsid w:val="0D2E6C71"/>
    <w:rsid w:val="0D314A63"/>
    <w:rsid w:val="0E98523F"/>
    <w:rsid w:val="105755D4"/>
    <w:rsid w:val="10E90BD6"/>
    <w:rsid w:val="118877EF"/>
    <w:rsid w:val="121455E9"/>
    <w:rsid w:val="13B4429F"/>
    <w:rsid w:val="13BF21C1"/>
    <w:rsid w:val="13F11C2E"/>
    <w:rsid w:val="16B24341"/>
    <w:rsid w:val="17CA7BE8"/>
    <w:rsid w:val="183F68E9"/>
    <w:rsid w:val="19207077"/>
    <w:rsid w:val="1AA23F8D"/>
    <w:rsid w:val="1ADE6810"/>
    <w:rsid w:val="1B215FE0"/>
    <w:rsid w:val="1C60672F"/>
    <w:rsid w:val="1DF72DE8"/>
    <w:rsid w:val="1DFECE63"/>
    <w:rsid w:val="1E17149D"/>
    <w:rsid w:val="1E2F6E3F"/>
    <w:rsid w:val="1E4B7B20"/>
    <w:rsid w:val="210A20F5"/>
    <w:rsid w:val="221E0307"/>
    <w:rsid w:val="26BB34DD"/>
    <w:rsid w:val="27AA02EA"/>
    <w:rsid w:val="2C1839B8"/>
    <w:rsid w:val="2D6E465E"/>
    <w:rsid w:val="2E1238F1"/>
    <w:rsid w:val="32876EA8"/>
    <w:rsid w:val="33E059DE"/>
    <w:rsid w:val="33E140CC"/>
    <w:rsid w:val="36055966"/>
    <w:rsid w:val="37CF0A58"/>
    <w:rsid w:val="380D6F50"/>
    <w:rsid w:val="3A0D7BE3"/>
    <w:rsid w:val="3B0B325A"/>
    <w:rsid w:val="3BA43EFB"/>
    <w:rsid w:val="3BDEB14E"/>
    <w:rsid w:val="3CCD59F2"/>
    <w:rsid w:val="3DBD6FF2"/>
    <w:rsid w:val="3DEF4DEB"/>
    <w:rsid w:val="3EFFE3E9"/>
    <w:rsid w:val="3F7F55E3"/>
    <w:rsid w:val="3FA04A4C"/>
    <w:rsid w:val="40BE169A"/>
    <w:rsid w:val="43AB5A25"/>
    <w:rsid w:val="45BF2E75"/>
    <w:rsid w:val="46216FA2"/>
    <w:rsid w:val="47C41AE5"/>
    <w:rsid w:val="4AB13403"/>
    <w:rsid w:val="4BD43E04"/>
    <w:rsid w:val="4C0172A2"/>
    <w:rsid w:val="5219006C"/>
    <w:rsid w:val="54DB20A5"/>
    <w:rsid w:val="56A31B24"/>
    <w:rsid w:val="57F981DB"/>
    <w:rsid w:val="58F5185C"/>
    <w:rsid w:val="5A085E65"/>
    <w:rsid w:val="5A093943"/>
    <w:rsid w:val="5B1026D8"/>
    <w:rsid w:val="5CF53048"/>
    <w:rsid w:val="5DA8272D"/>
    <w:rsid w:val="5DB81ED5"/>
    <w:rsid w:val="5EE742C3"/>
    <w:rsid w:val="5F562004"/>
    <w:rsid w:val="62AA188A"/>
    <w:rsid w:val="63165440"/>
    <w:rsid w:val="637F4961"/>
    <w:rsid w:val="645C0106"/>
    <w:rsid w:val="66175249"/>
    <w:rsid w:val="674806FD"/>
    <w:rsid w:val="68666AE8"/>
    <w:rsid w:val="6D297D0A"/>
    <w:rsid w:val="6F751981"/>
    <w:rsid w:val="6FB048C1"/>
    <w:rsid w:val="71656FCA"/>
    <w:rsid w:val="729273F9"/>
    <w:rsid w:val="737B7549"/>
    <w:rsid w:val="74D85361"/>
    <w:rsid w:val="7545EAA0"/>
    <w:rsid w:val="7733011B"/>
    <w:rsid w:val="778B7CF4"/>
    <w:rsid w:val="78D055AE"/>
    <w:rsid w:val="79357081"/>
    <w:rsid w:val="7BC29984"/>
    <w:rsid w:val="7BFF6A9B"/>
    <w:rsid w:val="7ED40464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hd w:val="clear" w:color="auto" w:fill="FFFFFF"/>
      <w:spacing w:line="560" w:lineRule="exact"/>
      <w:ind w:firstLine="632" w:firstLineChars="200"/>
      <w:jc w:val="both"/>
    </w:pPr>
    <w:rPr>
      <w:rFonts w:ascii="宋体" w:hAnsi="宋体" w:cs="Times New Roman"/>
      <w:kern w:val="0"/>
      <w:szCs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ScaleCrop>false</ScaleCrop>
  <LinksUpToDate>false</LinksUpToDate>
  <CharactersWithSpaces>24</CharactersWithSpaces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2021-03-06T00:20:00Z</dcterms:created>
  <dc:creator>xb21cn</dc:creator>
  <cp:lastModifiedBy>Lenovo</cp:lastModifiedBy>
  <cp:lastPrinted>2025-11-20T02:34:00Z</cp:lastPrinted>
  <dcterms:modified xsi:type="dcterms:W3CDTF">2025-11-20T08:44:43Z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BF4F691B015846738A2F6F05C7CC0FA8</vt:lpwstr>
  </property>
</Properties>
</file>